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E6C16" w14:textId="46B8218F" w:rsidR="00CA3997" w:rsidRPr="00484DBF" w:rsidRDefault="00CA3997" w:rsidP="00CA3997">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Pr>
          <w:noProof w:val="0"/>
          <w:sz w:val="24"/>
          <w:szCs w:val="24"/>
        </w:rPr>
        <w:t>2</w:t>
      </w:r>
      <w:r w:rsidRPr="0D18D305">
        <w:rPr>
          <w:noProof w:val="0"/>
          <w:sz w:val="24"/>
          <w:szCs w:val="24"/>
        </w:rPr>
        <w:t>-e</w:t>
      </w:r>
      <w:r>
        <w:tab/>
      </w:r>
      <w:r w:rsidRPr="0D18D305">
        <w:rPr>
          <w:noProof w:val="0"/>
          <w:sz w:val="24"/>
          <w:szCs w:val="24"/>
        </w:rPr>
        <w:t>R3-21</w:t>
      </w:r>
      <w:r w:rsidR="00722A5B">
        <w:rPr>
          <w:noProof w:val="0"/>
          <w:sz w:val="24"/>
          <w:szCs w:val="24"/>
        </w:rPr>
        <w:t>1891</w:t>
      </w:r>
    </w:p>
    <w:bookmarkEnd w:id="0"/>
    <w:p w14:paraId="12E58CFE" w14:textId="77777777" w:rsidR="00CA3997" w:rsidRPr="00484DBF" w:rsidRDefault="00CA3997" w:rsidP="00CA3997">
      <w:pPr>
        <w:pStyle w:val="Header"/>
        <w:tabs>
          <w:tab w:val="left" w:pos="2410"/>
        </w:tabs>
        <w:rPr>
          <w:rFonts w:eastAsia="MS Mincho"/>
          <w:sz w:val="24"/>
          <w:szCs w:val="24"/>
        </w:rPr>
      </w:pPr>
      <w:r w:rsidRPr="00903068">
        <w:rPr>
          <w:rFonts w:eastAsia="MS Mincho"/>
          <w:sz w:val="24"/>
          <w:szCs w:val="24"/>
        </w:rPr>
        <w:t>17-27 May 2021</w:t>
      </w:r>
    </w:p>
    <w:p w14:paraId="2B59E820" w14:textId="77777777" w:rsidR="00952130" w:rsidRPr="00B266B0" w:rsidRDefault="00952130" w:rsidP="00952130">
      <w:pPr>
        <w:pStyle w:val="Header"/>
        <w:rPr>
          <w:bCs w:val="0"/>
          <w:noProof w:val="0"/>
          <w:sz w:val="24"/>
        </w:rPr>
      </w:pPr>
    </w:p>
    <w:p w14:paraId="332AEB71" w14:textId="7619A13C"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13.2.1.</w:t>
      </w:r>
      <w:r w:rsidR="00A61359">
        <w:rPr>
          <w:rFonts w:cs="Arial"/>
          <w:b/>
          <w:bCs/>
          <w:sz w:val="24"/>
          <w:lang w:eastAsia="ja-JP"/>
        </w:rPr>
        <w:t>1</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0C12BEFC"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862708">
        <w:rPr>
          <w:rFonts w:cs="Arial"/>
          <w:b/>
          <w:bCs/>
          <w:sz w:val="24"/>
        </w:rPr>
        <w:t xml:space="preserve">discussion on </w:t>
      </w:r>
      <w:r w:rsidR="00862708" w:rsidRPr="00862708">
        <w:rPr>
          <w:rFonts w:cs="Arial"/>
          <w:b/>
          <w:bCs/>
          <w:sz w:val="24"/>
        </w:rPr>
        <w:t>Inter-Donor IAB Node Migration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198E2A16" w14:textId="3E653F32" w:rsidR="007A7B60" w:rsidRPr="00E36997" w:rsidRDefault="00310CEB" w:rsidP="00952130">
      <w:pPr>
        <w:overflowPunct/>
        <w:autoSpaceDE/>
        <w:autoSpaceDN/>
        <w:adjustRightInd/>
        <w:spacing w:after="180"/>
        <w:jc w:val="left"/>
        <w:textAlignment w:val="auto"/>
      </w:pPr>
      <w:r>
        <w:t>This contribution discuss</w:t>
      </w:r>
      <w:r w:rsidR="4A243A03">
        <w:t>es</w:t>
      </w:r>
      <w:r>
        <w:t xml:space="preserve"> following unsolved issues from last RAN3 </w:t>
      </w:r>
      <w:r w:rsidR="0037175B">
        <w:t>meeting</w:t>
      </w:r>
      <w:r>
        <w:t xml:space="preserve"> </w:t>
      </w:r>
      <w:r w:rsidR="00423687">
        <w:t>[1]</w:t>
      </w:r>
      <w:r w:rsidR="006048D0">
        <w:t>:</w:t>
      </w:r>
    </w:p>
    <w:p w14:paraId="253552A6" w14:textId="77777777" w:rsidR="00E007B2" w:rsidRPr="003D1EBB" w:rsidRDefault="00E007B2" w:rsidP="003D1EBB">
      <w:pPr>
        <w:ind w:left="562"/>
        <w:rPr>
          <w:rFonts w:ascii="Calibri" w:hAnsi="Calibri" w:cs="Calibri"/>
          <w:i/>
          <w:color w:val="FF0000"/>
        </w:rPr>
      </w:pPr>
      <w:r w:rsidRPr="003D1EBB">
        <w:rPr>
          <w:rFonts w:ascii="Calibri" w:hAnsi="Calibri" w:cs="Calibri"/>
          <w:i/>
          <w:color w:val="FF0000"/>
        </w:rPr>
        <w:t>To be confirmed: For inter-donor migration of the IAB-DU, the F1AP association to the target donor needs to be established while the F1AP association with the source donor still exists so that the RRC Reconfiguration messages to UEs and child-MTs can be delivered by the source IAB-donor while the RRC Reconfiguration Complete messages can be delivered to the target IAB-donor.</w:t>
      </w:r>
    </w:p>
    <w:p w14:paraId="09B07696" w14:textId="77777777" w:rsidR="00E007B2" w:rsidRPr="003D1EBB" w:rsidRDefault="00E007B2" w:rsidP="003D1EBB">
      <w:pPr>
        <w:ind w:left="562"/>
        <w:rPr>
          <w:rFonts w:ascii="Calibri" w:hAnsi="Calibri" w:cs="Calibri"/>
          <w:i/>
          <w:color w:val="FF0000"/>
        </w:rPr>
      </w:pPr>
      <w:r w:rsidRPr="003D1EBB">
        <w:rPr>
          <w:rFonts w:ascii="Calibri" w:hAnsi="Calibri" w:cs="Calibri"/>
          <w:i/>
          <w:color w:val="FF0000"/>
        </w:rPr>
        <w:t xml:space="preserve">FFS how IAB-DU migration is triggered, how the source donor-CU knows </w:t>
      </w:r>
      <w:proofErr w:type="gramStart"/>
      <w:r w:rsidRPr="003D1EBB">
        <w:rPr>
          <w:rFonts w:ascii="Calibri" w:hAnsi="Calibri" w:cs="Calibri"/>
          <w:i/>
          <w:color w:val="FF0000"/>
        </w:rPr>
        <w:t>if and when</w:t>
      </w:r>
      <w:proofErr w:type="gramEnd"/>
      <w:r w:rsidRPr="003D1EBB">
        <w:rPr>
          <w:rFonts w:ascii="Calibri" w:hAnsi="Calibri" w:cs="Calibri"/>
          <w:i/>
          <w:color w:val="FF0000"/>
        </w:rPr>
        <w:t xml:space="preserve"> F1-C has been successfully established with the target donor-CU, and how the target cell ID indication in the UE HO Request is handled.</w:t>
      </w:r>
    </w:p>
    <w:p w14:paraId="51C20885" w14:textId="77777777" w:rsidR="00E007B2" w:rsidRPr="003D1EBB" w:rsidRDefault="00E007B2" w:rsidP="003D1EBB">
      <w:pPr>
        <w:ind w:left="562"/>
        <w:rPr>
          <w:rFonts w:ascii="Calibri" w:hAnsi="Calibri" w:cs="Calibri"/>
          <w:i/>
          <w:color w:val="FF0000"/>
        </w:rPr>
      </w:pPr>
      <w:r w:rsidRPr="003D1EBB">
        <w:rPr>
          <w:rFonts w:ascii="Calibri" w:hAnsi="Calibri" w:cs="Calibri"/>
          <w:i/>
          <w:color w:val="FF0000"/>
        </w:rPr>
        <w:t>What about migration of descendant IAB-DUs, IAB-MTs?</w:t>
      </w:r>
    </w:p>
    <w:p w14:paraId="1BCDC0B8" w14:textId="77777777" w:rsidR="00E007B2" w:rsidRPr="003D1EBB" w:rsidRDefault="00E007B2" w:rsidP="003D1EBB">
      <w:pPr>
        <w:ind w:left="562"/>
        <w:rPr>
          <w:rFonts w:ascii="Calibri" w:hAnsi="Calibri" w:cs="Calibri"/>
          <w:i/>
          <w:color w:val="FF0000"/>
        </w:rPr>
      </w:pPr>
      <w:r w:rsidRPr="003D1EBB">
        <w:rPr>
          <w:rFonts w:ascii="Calibri" w:hAnsi="Calibri" w:cs="Calibri"/>
          <w:i/>
          <w:color w:val="FF0000"/>
        </w:rPr>
        <w:t>Whether to maintain same PCI and/or frequency during IAB-DU migration.</w:t>
      </w:r>
    </w:p>
    <w:p w14:paraId="3F67039F" w14:textId="77777777" w:rsidR="00E007B2" w:rsidRPr="003D1EBB" w:rsidRDefault="00E007B2" w:rsidP="003D1EBB">
      <w:pPr>
        <w:ind w:left="562"/>
        <w:rPr>
          <w:rFonts w:ascii="Calibri" w:hAnsi="Calibri" w:cs="Calibri"/>
          <w:i/>
          <w:color w:val="FF0000"/>
        </w:rPr>
      </w:pPr>
      <w:r w:rsidRPr="003D1EBB">
        <w:rPr>
          <w:rFonts w:ascii="Calibri" w:hAnsi="Calibri" w:cs="Calibri"/>
          <w:i/>
          <w:color w:val="FF0000"/>
        </w:rPr>
        <w:t xml:space="preserve"> To be continued...</w:t>
      </w:r>
    </w:p>
    <w:p w14:paraId="2E7B4139" w14:textId="6B2F6054" w:rsidR="007A7B60" w:rsidRDefault="007A7B60" w:rsidP="00B02AA7">
      <w:pPr>
        <w:overflowPunct/>
        <w:autoSpaceDE/>
        <w:autoSpaceDN/>
        <w:adjustRightInd/>
        <w:spacing w:after="60"/>
        <w:jc w:val="left"/>
        <w:textAlignment w:val="auto"/>
      </w:pPr>
    </w:p>
    <w:p w14:paraId="4397A4B2" w14:textId="6AC9C57F" w:rsidR="00952130" w:rsidRPr="00E36997" w:rsidRDefault="00952130" w:rsidP="00952130">
      <w:pPr>
        <w:overflowPunct/>
        <w:autoSpaceDE/>
        <w:autoSpaceDN/>
        <w:adjustRightInd/>
        <w:spacing w:after="180"/>
        <w:jc w:val="left"/>
        <w:textAlignment w:val="auto"/>
      </w:pPr>
      <w:r w:rsidRPr="00E36997">
        <w:t xml:space="preserve">This </w:t>
      </w:r>
      <w:r w:rsidR="007A7B60" w:rsidRPr="00E36997">
        <w:t>contribution analyses the technical detail</w:t>
      </w:r>
      <w:r w:rsidR="008956A6">
        <w:t>s</w:t>
      </w:r>
      <w:r w:rsidR="007A7B60" w:rsidRPr="00E36997">
        <w:t xml:space="preserve"> on </w:t>
      </w:r>
      <w:r w:rsidR="00504DEB">
        <w:t>the IAB-DU migration</w:t>
      </w:r>
      <w:r w:rsidR="007A7B60" w:rsidRPr="00E36997">
        <w:t xml:space="preserve">. </w:t>
      </w:r>
    </w:p>
    <w:p w14:paraId="71936864" w14:textId="77777777" w:rsidR="0062725E" w:rsidRDefault="0062725E" w:rsidP="0062725E">
      <w:pPr>
        <w:pStyle w:val="Heading1"/>
      </w:pPr>
      <w:r>
        <w:t>Discussion on “IAB-MT is simultaneously connected to 2 donor-CUs”</w:t>
      </w:r>
    </w:p>
    <w:p w14:paraId="25178D2E" w14:textId="77777777" w:rsidR="00D47876" w:rsidRDefault="00D47876" w:rsidP="0062725E">
      <w:pPr>
        <w:overflowPunct/>
        <w:autoSpaceDE/>
        <w:autoSpaceDN/>
        <w:adjustRightInd/>
        <w:spacing w:after="60"/>
        <w:jc w:val="left"/>
        <w:textAlignment w:val="auto"/>
      </w:pPr>
      <w:r>
        <w:t>Last meeting agreed:</w:t>
      </w:r>
    </w:p>
    <w:p w14:paraId="138FE126" w14:textId="77777777" w:rsidR="00D47876" w:rsidRPr="00D47876" w:rsidRDefault="00D47876" w:rsidP="00D47876">
      <w:pPr>
        <w:ind w:left="562"/>
        <w:rPr>
          <w:rFonts w:ascii="Calibri" w:hAnsi="Calibri" w:cs="Calibri"/>
          <w:iCs/>
          <w:color w:val="00B050"/>
        </w:rPr>
      </w:pPr>
      <w:r w:rsidRPr="00D47876">
        <w:rPr>
          <w:rFonts w:ascii="Calibri" w:hAnsi="Calibri" w:cs="Calibri"/>
          <w:iCs/>
          <w:color w:val="00B050"/>
        </w:rPr>
        <w:t>WA: NRDC is supported as a baseline procedure for the IAB-MT’s simultaneous connectivity to two IAB-donors; DAPS-like solution is not precluded</w:t>
      </w:r>
    </w:p>
    <w:p w14:paraId="3F18B758" w14:textId="08A47DF8" w:rsidR="0062725E" w:rsidRDefault="0062725E" w:rsidP="0062725E">
      <w:pPr>
        <w:overflowPunct/>
        <w:autoSpaceDE/>
        <w:autoSpaceDN/>
        <w:adjustRightInd/>
        <w:spacing w:after="60"/>
        <w:jc w:val="left"/>
        <w:textAlignment w:val="auto"/>
      </w:pPr>
      <w:r>
        <w:t xml:space="preserve">This section analyses the options </w:t>
      </w:r>
      <w:r w:rsidR="00640EC4">
        <w:t xml:space="preserve">when the </w:t>
      </w:r>
      <w:r w:rsidR="000D5249">
        <w:t>I</w:t>
      </w:r>
      <w:r w:rsidRPr="0090683C">
        <w:t>AB-MT is simultaneously connected to two IAB-donors</w:t>
      </w:r>
      <w:r>
        <w:t xml:space="preserve">. When the IAB only have one </w:t>
      </w:r>
      <w:proofErr w:type="spellStart"/>
      <w:r>
        <w:t>gNB</w:t>
      </w:r>
      <w:proofErr w:type="spellEnd"/>
      <w:r>
        <w:t>-DU, the IAB-DU only have one F1 interface with one Donor. When RLF occurs for MCG link or SCG link, all F1-C/U traffic are switched to the other path. There is no issue if the UE Context and F1-C remains in the original Donor.</w:t>
      </w:r>
    </w:p>
    <w:p w14:paraId="323E7DEA" w14:textId="77777777" w:rsidR="0062725E" w:rsidRDefault="0062725E" w:rsidP="0062725E">
      <w:pPr>
        <w:jc w:val="center"/>
        <w:rPr>
          <w:b/>
          <w:bCs/>
        </w:rPr>
      </w:pPr>
      <w:r>
        <w:object w:dxaOrig="2892" w:dyaOrig="3240" w14:anchorId="758104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62.15pt" o:ole="">
            <v:imagedata r:id="rId13" o:title=""/>
          </v:shape>
          <o:OLEObject Type="Embed" ProgID="Visio.Drawing.15" ShapeID="_x0000_i1025" DrawAspect="Content" ObjectID="_1681887240" r:id="rId14"/>
        </w:object>
      </w:r>
    </w:p>
    <w:p w14:paraId="227156C5" w14:textId="7796B984" w:rsidR="0062725E" w:rsidRDefault="0062725E" w:rsidP="0062725E">
      <w:pPr>
        <w:spacing w:after="160" w:line="259" w:lineRule="auto"/>
        <w:jc w:val="center"/>
        <w:rPr>
          <w:lang w:val="en-U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sidR="00484347">
        <w:rPr>
          <w:noProof/>
        </w:rPr>
        <w:t>1</w:t>
      </w:r>
      <w:r w:rsidRPr="00640C1B">
        <w:rPr>
          <w:b/>
          <w:bCs/>
        </w:rPr>
        <w:fldChar w:fldCharType="end"/>
      </w:r>
      <w:r w:rsidRPr="00640C1B">
        <w:rPr>
          <w:lang w:val="en-US"/>
        </w:rPr>
        <w:t xml:space="preserve">: Example for </w:t>
      </w:r>
      <w:r>
        <w:rPr>
          <w:lang w:val="en-US"/>
        </w:rPr>
        <w:t xml:space="preserve">IAB </w:t>
      </w:r>
      <w:r w:rsidRPr="005C0D8C">
        <w:rPr>
          <w:lang w:val="en-US"/>
        </w:rPr>
        <w:t xml:space="preserve">simultaneously </w:t>
      </w:r>
      <w:r>
        <w:rPr>
          <w:lang w:val="en-US"/>
        </w:rPr>
        <w:t>connecting to 2 Donors</w:t>
      </w:r>
    </w:p>
    <w:p w14:paraId="74F901B0" w14:textId="77777777" w:rsidR="00652EE5" w:rsidRDefault="00652EE5" w:rsidP="00652EE5">
      <w:pPr>
        <w:rPr>
          <w:lang w:val="en-US"/>
        </w:rPr>
      </w:pPr>
      <w:r>
        <w:rPr>
          <w:lang w:val="en-US"/>
        </w:rPr>
        <w:lastRenderedPageBreak/>
        <w:t>DAPS is originally meant for mobility enhancement feature minimizing the interruption of data transmission during HO. The assumption is that there are two functioning links simultaneously available for the parent connections. If this is used for the reduction of service interruption during the migration, the target link should be configured before the migration is triggered on the source link. Therefore, the preparation for DAPS-like and DC would have similar assumptions and preparation. The usage for robustness (e.g. against RLFs) would assume long lasting configuration to be prepared for potential failures – of which timing is typically non-predictable. Usage for load balancing, again, the two links shall be configured and usable simultaneously and continuously. The agreements until now assume the granularity to be per F1-U tunnel which is applicable for DC scenario.</w:t>
      </w:r>
    </w:p>
    <w:p w14:paraId="78AF1FFF" w14:textId="77777777" w:rsidR="00210D53" w:rsidRDefault="00210D53" w:rsidP="00484347">
      <w:pPr>
        <w:ind w:left="568" w:firstLine="284"/>
        <w:jc w:val="center"/>
        <w:rPr>
          <w:szCs w:val="24"/>
          <w:lang w:val="en-US"/>
        </w:rPr>
      </w:pPr>
      <w:r>
        <w:rPr>
          <w:szCs w:val="24"/>
          <w:lang w:val="en-US"/>
        </w:rPr>
        <w:object w:dxaOrig="2955" w:dyaOrig="5175" w14:anchorId="521E8A5E">
          <v:shape id="_x0000_i1026" type="#_x0000_t75" style="width:147.75pt;height:259.2pt" o:ole="">
            <v:imagedata r:id="rId15" o:title=""/>
          </v:shape>
          <o:OLEObject Type="Embed" ProgID="Visio.Drawing.11" ShapeID="_x0000_i1026" DrawAspect="Content" ObjectID="_1681887241" r:id="rId16"/>
        </w:object>
      </w:r>
    </w:p>
    <w:p w14:paraId="716B7065" w14:textId="4D0099F2" w:rsidR="00210D53" w:rsidRPr="00484347" w:rsidRDefault="00210D53" w:rsidP="00484347">
      <w:pPr>
        <w:spacing w:after="160" w:line="259" w:lineRule="auto"/>
        <w:jc w:val="center"/>
      </w:pPr>
      <w:bookmarkStart w:id="2" w:name="_Ref67666198"/>
      <w:r w:rsidRPr="00872F60">
        <w:t xml:space="preserve">Figure </w:t>
      </w:r>
      <w:r>
        <w:fldChar w:fldCharType="begin"/>
      </w:r>
      <w:r w:rsidRPr="00872F60">
        <w:instrText xml:space="preserve"> SEQ Figure \* ARABIC </w:instrText>
      </w:r>
      <w:r>
        <w:fldChar w:fldCharType="separate"/>
      </w:r>
      <w:r w:rsidR="00484347">
        <w:rPr>
          <w:noProof/>
        </w:rPr>
        <w:t>2</w:t>
      </w:r>
      <w:r>
        <w:fldChar w:fldCharType="end"/>
      </w:r>
      <w:bookmarkEnd w:id="2"/>
      <w:r w:rsidRPr="00872F60">
        <w:t xml:space="preserve"> Protocol stacks of D</w:t>
      </w:r>
      <w:r>
        <w:t>APS-like solution applied for IAB</w:t>
      </w:r>
    </w:p>
    <w:p w14:paraId="1DDAFBC2" w14:textId="29328BD0" w:rsidR="00652EE5" w:rsidRDefault="00484347" w:rsidP="00652EE5">
      <w:pPr>
        <w:spacing w:after="160" w:line="259" w:lineRule="auto"/>
        <w:rPr>
          <w:lang w:val="en-US"/>
        </w:rPr>
      </w:pPr>
      <w:r>
        <w:rPr>
          <w:lang w:val="en-US"/>
        </w:rPr>
        <w:t>In the above structure of DAPS-like implementation, there is only a single IAB-DU which means that there is only one F1-C to the donor, also in the inter-donor scenario</w:t>
      </w:r>
      <w:r w:rsidR="00F152FE">
        <w:rPr>
          <w:lang w:val="en-US"/>
        </w:rPr>
        <w:t>.</w:t>
      </w:r>
      <w:r>
        <w:rPr>
          <w:lang w:val="en-US"/>
        </w:rPr>
        <w:t xml:space="preserve"> This means that the BAP configuration is done by a single donor-CU. The donor-CU of the other topology is therefore not configuring the BAP of the border node.</w:t>
      </w:r>
    </w:p>
    <w:p w14:paraId="39AE5007" w14:textId="77777777" w:rsidR="007359AC" w:rsidRDefault="007359AC" w:rsidP="007359AC">
      <w:pPr>
        <w:rPr>
          <w:lang w:val="en-US"/>
        </w:rPr>
      </w:pPr>
      <w:r>
        <w:rPr>
          <w:lang w:val="en-US"/>
        </w:rPr>
        <w:t>The PHY, MAC and RLC of the parent links are configured separately by the two donors. This will be the case for both DC and DAPS-like. Remaining issues on resource configuration and usage in DC is under work in RAN1. Requirements and operation of DAPS-like solution are no different from DC regarding the lowest layers that RAN1 is specifying.</w:t>
      </w:r>
    </w:p>
    <w:p w14:paraId="132A6F20" w14:textId="1E56BECE" w:rsidR="007359AC" w:rsidRPr="007359AC" w:rsidRDefault="007359AC" w:rsidP="50B72A1E">
      <w:pPr>
        <w:rPr>
          <w:lang w:val="en-US"/>
        </w:rPr>
      </w:pPr>
      <w:r w:rsidRPr="50B72A1E">
        <w:rPr>
          <w:lang w:val="en-US"/>
        </w:rPr>
        <w:t xml:space="preserve">Considering the discussion above, there does not seem to be major differences in the requirements and configurations that would be required for the two parent scenario connections regardless of using DC or assumed DAPS-like solution. Neither the benefits of DAPS-like over DC are evident in the anticipated use cases. Therefore, it can be concluded that justification to specify DAPS-like solution on top of the baseline operation using DC would be redundant and has non-confirmed benefits. </w:t>
      </w:r>
      <w:r w:rsidR="3E3288E3" w:rsidRPr="50B72A1E">
        <w:rPr>
          <w:lang w:val="en-US"/>
        </w:rPr>
        <w:t xml:space="preserve">RAN2#113bis-e discussed also the solution but could not agree anything due to lack of common understanding about the </w:t>
      </w:r>
      <w:r w:rsidR="3A4AED2D" w:rsidRPr="50B72A1E">
        <w:rPr>
          <w:lang w:val="en-US"/>
        </w:rPr>
        <w:t xml:space="preserve">solution and potential advantages. Based on the </w:t>
      </w:r>
      <w:r w:rsidR="6EA78169" w:rsidRPr="50B72A1E">
        <w:rPr>
          <w:lang w:val="en-US"/>
        </w:rPr>
        <w:t xml:space="preserve">discussion </w:t>
      </w:r>
      <w:r w:rsidR="3A4AED2D" w:rsidRPr="50B72A1E">
        <w:rPr>
          <w:lang w:val="en-US"/>
        </w:rPr>
        <w:t xml:space="preserve">above </w:t>
      </w:r>
      <w:r w:rsidR="7B00EE24" w:rsidRPr="50B72A1E">
        <w:rPr>
          <w:lang w:val="en-US"/>
        </w:rPr>
        <w:t>and due to RAN2 not being able to c</w:t>
      </w:r>
      <w:r w:rsidR="4AA4D8F6" w:rsidRPr="50B72A1E">
        <w:rPr>
          <w:lang w:val="en-US"/>
        </w:rPr>
        <w:t>onfirm the usefulness of the solution, we are proposing following:</w:t>
      </w:r>
    </w:p>
    <w:p w14:paraId="18C7C587" w14:textId="77777777" w:rsidR="007359AC" w:rsidRDefault="0062725E" w:rsidP="0062725E">
      <w:pPr>
        <w:rPr>
          <w:b/>
          <w:bCs/>
        </w:rPr>
      </w:pPr>
      <w:r>
        <w:rPr>
          <w:b/>
          <w:bCs/>
        </w:rPr>
        <w:t xml:space="preserve">Proposal </w:t>
      </w:r>
      <w:r w:rsidR="00EA33B1">
        <w:rPr>
          <w:b/>
          <w:bCs/>
        </w:rPr>
        <w:t>1</w:t>
      </w:r>
      <w:r>
        <w:rPr>
          <w:b/>
          <w:bCs/>
        </w:rPr>
        <w:t xml:space="preserve">: </w:t>
      </w:r>
      <w:r w:rsidR="007359AC">
        <w:rPr>
          <w:b/>
          <w:bCs/>
        </w:rPr>
        <w:t>RAN3 agree with following proposals</w:t>
      </w:r>
    </w:p>
    <w:p w14:paraId="3F6CC122" w14:textId="31BB1124" w:rsidR="00EA33B1" w:rsidRDefault="00EA33B1" w:rsidP="00FA45AD">
      <w:pPr>
        <w:pStyle w:val="ListParagraph"/>
        <w:numPr>
          <w:ilvl w:val="0"/>
          <w:numId w:val="29"/>
        </w:numPr>
        <w:rPr>
          <w:b/>
          <w:bCs/>
        </w:rPr>
      </w:pPr>
      <w:r w:rsidRPr="007359AC">
        <w:rPr>
          <w:b/>
          <w:bCs/>
        </w:rPr>
        <w:t xml:space="preserve">turn the previous WA into agreement: NRDC is supported as a baseline procedure for the IAB-MT’s simultaneous connectivity to two IAB-donors </w:t>
      </w:r>
    </w:p>
    <w:p w14:paraId="708D5D87" w14:textId="6E5049A4" w:rsidR="007359AC" w:rsidRPr="007359AC" w:rsidRDefault="007359AC" w:rsidP="00FA45AD">
      <w:pPr>
        <w:pStyle w:val="ListParagraph"/>
        <w:numPr>
          <w:ilvl w:val="0"/>
          <w:numId w:val="29"/>
        </w:numPr>
        <w:rPr>
          <w:b/>
          <w:bCs/>
        </w:rPr>
      </w:pPr>
      <w:r>
        <w:rPr>
          <w:b/>
          <w:bCs/>
        </w:rPr>
        <w:t>No discuss on DAPS-like solution in Rel-17.</w:t>
      </w:r>
    </w:p>
    <w:p w14:paraId="58117BDB" w14:textId="77777777" w:rsidR="00EA33B1" w:rsidRDefault="00EA33B1" w:rsidP="0062725E">
      <w:pPr>
        <w:rPr>
          <w:b/>
          <w:bCs/>
        </w:rPr>
      </w:pPr>
    </w:p>
    <w:p w14:paraId="169C0E12" w14:textId="10AC5E38" w:rsidR="00E91E88" w:rsidRDefault="00E91E88" w:rsidP="00952130">
      <w:pPr>
        <w:pStyle w:val="Heading1"/>
      </w:pPr>
      <w:r>
        <w:lastRenderedPageBreak/>
        <w:t>Discussion</w:t>
      </w:r>
      <w:r w:rsidR="00AC2348">
        <w:t xml:space="preserve"> on </w:t>
      </w:r>
      <w:r w:rsidR="008C3B4B">
        <w:t>IAB-DU migration</w:t>
      </w:r>
    </w:p>
    <w:p w14:paraId="5D701D8A" w14:textId="7F33642C" w:rsidR="008C24E5" w:rsidRDefault="00B838E1" w:rsidP="005607E1">
      <w:pPr>
        <w:overflowPunct/>
        <w:autoSpaceDE/>
        <w:autoSpaceDN/>
        <w:adjustRightInd/>
        <w:spacing w:after="60"/>
        <w:jc w:val="left"/>
        <w:textAlignment w:val="auto"/>
      </w:pPr>
      <w:r>
        <w:t xml:space="preserve">The purpose of the IAB-DU migration is to migrate the UE context, and the F1 interface of the </w:t>
      </w:r>
      <w:r w:rsidR="008C24E5">
        <w:t xml:space="preserve">IAB-DU of the </w:t>
      </w:r>
      <w:r>
        <w:t>migrating IAB (and descendant IAB) to target Donor-CU.</w:t>
      </w:r>
      <w:r w:rsidR="00FE17E2">
        <w:t xml:space="preserve"> The migrating IAB (and descendant IAB) may be configured with</w:t>
      </w:r>
      <w:r w:rsidR="00695E22">
        <w:t xml:space="preserve"> the information of</w:t>
      </w:r>
      <w:r w:rsidR="00FE17E2">
        <w:t xml:space="preserve"> target Donor, e.g. the IP address of target Donor-CU.</w:t>
      </w:r>
      <w:r w:rsidR="00695E22">
        <w:t xml:space="preserve"> The main issue is when the IAB-DU</w:t>
      </w:r>
      <w:r>
        <w:t xml:space="preserve"> </w:t>
      </w:r>
      <w:r w:rsidR="00695E22">
        <w:t xml:space="preserve">of the migrating IAB (and descendant IAB) initiates the TNL establishment, and F1 establishment with target Donor-CU. </w:t>
      </w:r>
      <w:r w:rsidR="00145A01">
        <w:t xml:space="preserve">This issue depends on whether the IAB node only have one IAB-DU or 2 IAB-DUs. </w:t>
      </w:r>
    </w:p>
    <w:p w14:paraId="4DDD321A" w14:textId="15B0498D" w:rsidR="00BB0538" w:rsidRDefault="00FA0908" w:rsidP="00AD746D">
      <w:pPr>
        <w:pStyle w:val="Heading2"/>
        <w:ind w:left="1134" w:hanging="1134"/>
        <w:rPr>
          <w:rFonts w:eastAsia="宋体"/>
          <w:lang w:eastAsia="en-US"/>
        </w:rPr>
      </w:pPr>
      <w:r>
        <w:rPr>
          <w:rFonts w:eastAsia="宋体"/>
          <w:lang w:eastAsia="en-US"/>
        </w:rPr>
        <w:t>3</w:t>
      </w:r>
      <w:r w:rsidR="00AD746D" w:rsidRPr="00640EFB">
        <w:rPr>
          <w:rFonts w:eastAsia="宋体"/>
          <w:lang w:eastAsia="en-US"/>
        </w:rPr>
        <w:t>.</w:t>
      </w:r>
      <w:r w:rsidR="00AD746D">
        <w:rPr>
          <w:rFonts w:eastAsia="宋体"/>
          <w:lang w:eastAsia="en-US"/>
        </w:rPr>
        <w:t>1</w:t>
      </w:r>
      <w:r w:rsidR="00AD746D" w:rsidRPr="00640EFB">
        <w:rPr>
          <w:rFonts w:eastAsia="宋体"/>
          <w:lang w:eastAsia="en-US"/>
        </w:rPr>
        <w:t xml:space="preserve">. </w:t>
      </w:r>
      <w:r w:rsidR="00092484">
        <w:rPr>
          <w:rFonts w:eastAsia="宋体"/>
          <w:lang w:eastAsia="en-US"/>
        </w:rPr>
        <w:t>when IAB node only have one IAB-DU</w:t>
      </w:r>
    </w:p>
    <w:p w14:paraId="4EC23D3E" w14:textId="1CA315F2" w:rsidR="00B02AA7" w:rsidRDefault="00145A01" w:rsidP="00B02AA7">
      <w:r>
        <w:t xml:space="preserve">Since a </w:t>
      </w:r>
      <w:proofErr w:type="spellStart"/>
      <w:r>
        <w:t>gNB</w:t>
      </w:r>
      <w:proofErr w:type="spellEnd"/>
      <w:r>
        <w:t xml:space="preserve">-DU only connect with one </w:t>
      </w:r>
      <w:proofErr w:type="spellStart"/>
      <w:r>
        <w:t>gNB</w:t>
      </w:r>
      <w:proofErr w:type="spellEnd"/>
      <w:r>
        <w:t xml:space="preserve">-CU, </w:t>
      </w:r>
      <w:r w:rsidR="002F3893">
        <w:t>an</w:t>
      </w:r>
      <w:r>
        <w:t xml:space="preserve"> IAB-DU can either have F1 establish</w:t>
      </w:r>
      <w:r w:rsidR="006C5AA4">
        <w:t>ed</w:t>
      </w:r>
      <w:r>
        <w:t xml:space="preserve"> with source Donor-CU or target Donor-CU, but not both at any time. </w:t>
      </w:r>
      <w:r w:rsidR="00AE6ED0">
        <w:t xml:space="preserve">This affects how to migrate the UE context to target Donor-CU. </w:t>
      </w:r>
      <w:r w:rsidR="00B02AA7">
        <w:t>A typical inter-</w:t>
      </w:r>
      <w:proofErr w:type="spellStart"/>
      <w:r w:rsidR="00B02AA7">
        <w:t>gNB</w:t>
      </w:r>
      <w:proofErr w:type="spellEnd"/>
      <w:r w:rsidR="00B02AA7">
        <w:t xml:space="preserve"> handover procedure (from TS</w:t>
      </w:r>
      <w:r w:rsidR="00423687">
        <w:t xml:space="preserve"> </w:t>
      </w:r>
      <w:r w:rsidR="00B02AA7">
        <w:t xml:space="preserve">38.401) is copied as below as reference. </w:t>
      </w:r>
    </w:p>
    <w:p w14:paraId="0CB44A4B" w14:textId="77777777" w:rsidR="00B02AA7" w:rsidRPr="00B8401F" w:rsidRDefault="00B02AA7" w:rsidP="00B02AA7">
      <w:pPr>
        <w:pStyle w:val="TH"/>
      </w:pPr>
      <w:r>
        <w:object w:dxaOrig="16470" w:dyaOrig="13935" w14:anchorId="2D130C0E">
          <v:shape id="_x0000_i1027" type="#_x0000_t75" style="width:413.2pt;height:350pt" o:ole="">
            <v:imagedata r:id="rId17" o:title=""/>
          </v:shape>
          <o:OLEObject Type="Embed" ProgID="Visio.Drawing.15" ShapeID="_x0000_i1027" DrawAspect="Content" ObjectID="_1681887242" r:id="rId18"/>
        </w:object>
      </w:r>
    </w:p>
    <w:p w14:paraId="7B92DFC2" w14:textId="77777777" w:rsidR="00B02AA7" w:rsidRPr="00B8401F" w:rsidRDefault="00B02AA7" w:rsidP="00B02AA7">
      <w:pPr>
        <w:pStyle w:val="TF"/>
      </w:pPr>
      <w:r w:rsidRPr="00B8401F">
        <w:t>Figure 8.9.4-1: Inter-</w:t>
      </w:r>
      <w:proofErr w:type="spellStart"/>
      <w:r w:rsidRPr="00B8401F">
        <w:t>gNB</w:t>
      </w:r>
      <w:proofErr w:type="spellEnd"/>
      <w:r w:rsidRPr="00B8401F">
        <w:t xml:space="preserve"> handover involving </w:t>
      </w:r>
      <w:proofErr w:type="spellStart"/>
      <w:r w:rsidRPr="00B8401F">
        <w:t>gNB</w:t>
      </w:r>
      <w:proofErr w:type="spellEnd"/>
      <w:r w:rsidRPr="00B8401F">
        <w:t>-CU-UP change</w:t>
      </w:r>
    </w:p>
    <w:p w14:paraId="344EAB63" w14:textId="661DF91A" w:rsidR="00B02AA7" w:rsidRDefault="00B02AA7" w:rsidP="00B02AA7">
      <w:pPr>
        <w:widowControl w:val="0"/>
      </w:pPr>
      <w:r>
        <w:t>As seen in above the figure, current HO procedure requires the F1-C between source Donor and IAB-DU, and the F1-C between target Donor and IAB-DU. This is also reflected in the agreement “</w:t>
      </w:r>
      <w:r w:rsidRPr="0078549A">
        <w:rPr>
          <w:rFonts w:ascii="Calibri" w:hAnsi="Calibri" w:cs="Calibri"/>
          <w:iCs/>
          <w:color w:val="00B050"/>
          <w:sz w:val="22"/>
          <w:szCs w:val="22"/>
        </w:rPr>
        <w:t xml:space="preserve">As a consequence of adopting the </w:t>
      </w:r>
      <w:proofErr w:type="spellStart"/>
      <w:r w:rsidRPr="0078549A">
        <w:rPr>
          <w:rFonts w:ascii="Calibri" w:hAnsi="Calibri" w:cs="Calibri"/>
          <w:iCs/>
          <w:color w:val="00B050"/>
          <w:sz w:val="22"/>
          <w:szCs w:val="22"/>
        </w:rPr>
        <w:t>Xn</w:t>
      </w:r>
      <w:proofErr w:type="spellEnd"/>
      <w:r w:rsidRPr="0078549A">
        <w:rPr>
          <w:rFonts w:ascii="Calibri" w:hAnsi="Calibri" w:cs="Calibri"/>
          <w:iCs/>
          <w:color w:val="00B050"/>
          <w:sz w:val="22"/>
          <w:szCs w:val="22"/>
        </w:rPr>
        <w:t xml:space="preserve"> HO prep procedure as BL, the new IAB-donor needs to have an F1AP association with the IAB-DU holding the target cell before responding to the initiating message of the UE migration procedure</w:t>
      </w:r>
      <w:r>
        <w:t xml:space="preserve">”. </w:t>
      </w:r>
    </w:p>
    <w:p w14:paraId="07CF0F28" w14:textId="059CBD63" w:rsidR="00B02AA7" w:rsidRDefault="00B02AA7" w:rsidP="00B02AA7">
      <w:pPr>
        <w:widowControl w:val="0"/>
      </w:pPr>
      <w:r>
        <w:t xml:space="preserve">When the IAB only have an </w:t>
      </w:r>
      <w:r w:rsidR="59A39314">
        <w:t>IAB</w:t>
      </w:r>
      <w:r>
        <w:t>-DU, i</w:t>
      </w:r>
      <w:r w:rsidR="00EA1940">
        <w:t>t is not possible</w:t>
      </w:r>
      <w:r w:rsidR="00FC3FCB">
        <w:t xml:space="preserve"> for</w:t>
      </w:r>
      <w:r w:rsidR="00EA1940">
        <w:t xml:space="preserve"> t</w:t>
      </w:r>
      <w:r w:rsidR="00C82528">
        <w:t>he IAB-DU to setup F1 interface with Target Donor, while maintain</w:t>
      </w:r>
      <w:r w:rsidR="00FC3FCB">
        <w:t>ing</w:t>
      </w:r>
      <w:r w:rsidR="00C82528">
        <w:t xml:space="preserve"> the F1 interface between the IAB-DU and Source Donor. </w:t>
      </w:r>
      <w:r>
        <w:t>This means current HO procedure cannot be reused</w:t>
      </w:r>
      <w:r w:rsidR="00131ABE">
        <w:t xml:space="preserve">, unless an enhancement is introduced. It may be argued that this may be solved by some enhancement, e.g. reusing the F1AP UE context established in the source Donor in target Donor via transferring the F1AP UE context during the HO preparation procedure for the UE. But this may be a big change. </w:t>
      </w:r>
      <w:r w:rsidR="002F0081">
        <w:t xml:space="preserve">Without using handover procedure to migrate the UE to target Donor, it is meaningless to discuss the IAB-DU migration. </w:t>
      </w:r>
    </w:p>
    <w:p w14:paraId="1BCF26E5" w14:textId="691A2926" w:rsidR="00131ABE" w:rsidRPr="00131ABE" w:rsidRDefault="00131ABE" w:rsidP="3648F031">
      <w:pPr>
        <w:widowControl w:val="0"/>
        <w:rPr>
          <w:rFonts w:ascii="Calibri" w:hAnsi="Calibri" w:cs="Calibri"/>
          <w:b/>
          <w:bCs/>
          <w:color w:val="00B050"/>
          <w:sz w:val="16"/>
          <w:szCs w:val="16"/>
        </w:rPr>
      </w:pPr>
      <w:r w:rsidRPr="4B16A57A">
        <w:rPr>
          <w:b/>
          <w:bCs/>
        </w:rPr>
        <w:lastRenderedPageBreak/>
        <w:t xml:space="preserve">Observation 1: When IAB only have one </w:t>
      </w:r>
      <w:r w:rsidR="7CCED298" w:rsidRPr="4B16A57A">
        <w:rPr>
          <w:b/>
          <w:bCs/>
        </w:rPr>
        <w:t>IAB</w:t>
      </w:r>
      <w:r w:rsidRPr="4B16A57A">
        <w:rPr>
          <w:b/>
          <w:bCs/>
        </w:rPr>
        <w:t xml:space="preserve">-DU, it is not possible to reuse current HO procedure for the UE, unless a big change is introduced. </w:t>
      </w:r>
    </w:p>
    <w:p w14:paraId="39440AD3" w14:textId="39871324" w:rsidR="001C736D" w:rsidRDefault="00131ABE" w:rsidP="00CB1153">
      <w:pPr>
        <w:rPr>
          <w:b/>
          <w:bCs/>
        </w:rPr>
      </w:pPr>
      <w:r w:rsidRPr="4B16A57A">
        <w:rPr>
          <w:b/>
          <w:bCs/>
        </w:rPr>
        <w:t xml:space="preserve">Proposal </w:t>
      </w:r>
      <w:r w:rsidR="00441539">
        <w:rPr>
          <w:b/>
          <w:bCs/>
        </w:rPr>
        <w:t>2</w:t>
      </w:r>
      <w:r w:rsidRPr="4B16A57A">
        <w:rPr>
          <w:b/>
          <w:bCs/>
        </w:rPr>
        <w:t xml:space="preserve">: RAN3 </w:t>
      </w:r>
      <w:r w:rsidR="00F33AB4" w:rsidRPr="4B16A57A">
        <w:rPr>
          <w:b/>
          <w:bCs/>
        </w:rPr>
        <w:t>do not discuss the IAB-DU migration</w:t>
      </w:r>
      <w:r w:rsidRPr="4B16A57A">
        <w:rPr>
          <w:b/>
          <w:bCs/>
        </w:rPr>
        <w:t xml:space="preserve">, when the IAB only have one </w:t>
      </w:r>
      <w:r w:rsidR="210E95FE" w:rsidRPr="4B16A57A">
        <w:rPr>
          <w:b/>
          <w:bCs/>
        </w:rPr>
        <w:t>IAB</w:t>
      </w:r>
      <w:r w:rsidRPr="4B16A57A">
        <w:rPr>
          <w:b/>
          <w:bCs/>
        </w:rPr>
        <w:t>-DU.</w:t>
      </w:r>
    </w:p>
    <w:p w14:paraId="65574D03" w14:textId="7D296CE8" w:rsidR="00B02AA7" w:rsidRPr="00131ABE" w:rsidRDefault="00131ABE" w:rsidP="00CB1153">
      <w:pPr>
        <w:rPr>
          <w:b/>
          <w:bCs/>
        </w:rPr>
      </w:pPr>
      <w:r>
        <w:rPr>
          <w:b/>
          <w:bCs/>
        </w:rPr>
        <w:t xml:space="preserve"> </w:t>
      </w:r>
    </w:p>
    <w:p w14:paraId="588FFC48" w14:textId="22F27A46" w:rsidR="0025455C" w:rsidRDefault="00FA0908" w:rsidP="0025455C">
      <w:pPr>
        <w:pStyle w:val="Heading2"/>
        <w:ind w:left="1134" w:hanging="1134"/>
        <w:rPr>
          <w:rFonts w:eastAsia="宋体"/>
          <w:lang w:eastAsia="en-US"/>
        </w:rPr>
      </w:pPr>
      <w:r>
        <w:rPr>
          <w:rFonts w:eastAsia="宋体"/>
          <w:lang w:eastAsia="en-US"/>
        </w:rPr>
        <w:t>3</w:t>
      </w:r>
      <w:r w:rsidR="0025455C" w:rsidRPr="00640EFB">
        <w:rPr>
          <w:rFonts w:eastAsia="宋体"/>
          <w:lang w:eastAsia="en-US"/>
        </w:rPr>
        <w:t>.</w:t>
      </w:r>
      <w:r w:rsidR="0025455C">
        <w:rPr>
          <w:rFonts w:eastAsia="宋体"/>
          <w:lang w:eastAsia="en-US"/>
        </w:rPr>
        <w:t>2</w:t>
      </w:r>
      <w:r w:rsidR="0025455C" w:rsidRPr="00640EFB">
        <w:rPr>
          <w:rFonts w:eastAsia="宋体"/>
          <w:lang w:eastAsia="en-US"/>
        </w:rPr>
        <w:t xml:space="preserve">. </w:t>
      </w:r>
      <w:r w:rsidR="0025455C">
        <w:rPr>
          <w:rFonts w:eastAsia="宋体"/>
          <w:lang w:eastAsia="en-US"/>
        </w:rPr>
        <w:t>when IAB node have 2 IAB-DUs</w:t>
      </w:r>
    </w:p>
    <w:p w14:paraId="6C338880" w14:textId="42B2C55B" w:rsidR="00DA69D7" w:rsidRDefault="00E62C10" w:rsidP="00CB1153">
      <w:r>
        <w:t>In this option, an IAB node may have 2 IAB-DUs, i.e. the 1</w:t>
      </w:r>
      <w:r w:rsidRPr="00E62C10">
        <w:rPr>
          <w:vertAlign w:val="superscript"/>
        </w:rPr>
        <w:t>st</w:t>
      </w:r>
      <w:r>
        <w:t xml:space="preserve"> IAB-DU (e.g. IAB-</w:t>
      </w:r>
      <w:proofErr w:type="spellStart"/>
      <w:r>
        <w:t>DU</w:t>
      </w:r>
      <w:r w:rsidR="00B93100">
        <w:t>a</w:t>
      </w:r>
      <w:proofErr w:type="spellEnd"/>
      <w:r>
        <w:t xml:space="preserve">) for </w:t>
      </w:r>
      <w:r w:rsidR="009477A4">
        <w:t xml:space="preserve">F1-C </w:t>
      </w:r>
      <w:r>
        <w:t>connection with Source Donor, and the 2</w:t>
      </w:r>
      <w:r w:rsidRPr="00E62C10">
        <w:rPr>
          <w:vertAlign w:val="superscript"/>
        </w:rPr>
        <w:t>nd</w:t>
      </w:r>
      <w:r>
        <w:t xml:space="preserve"> IAB-DU (e.g. IAB-</w:t>
      </w:r>
      <w:proofErr w:type="spellStart"/>
      <w:r>
        <w:t>DU</w:t>
      </w:r>
      <w:r w:rsidR="00B93100">
        <w:t>b</w:t>
      </w:r>
      <w:proofErr w:type="spellEnd"/>
      <w:r>
        <w:t>)</w:t>
      </w:r>
      <w:r w:rsidR="009477A4">
        <w:t xml:space="preserve"> for F1-C connecting with Target Donor.</w:t>
      </w:r>
      <w:r w:rsidR="00CF0864">
        <w:t xml:space="preserve"> </w:t>
      </w:r>
      <w:r w:rsidR="00894C14">
        <w:t xml:space="preserve">The migration procedure may include intermediate stage. </w:t>
      </w:r>
      <w:r w:rsidR="00CF0864">
        <w:t>Th</w:t>
      </w:r>
      <w:r w:rsidR="00207480">
        <w:t>is was discussed in contribution</w:t>
      </w:r>
      <w:r w:rsidR="00002BEA">
        <w:t xml:space="preserve"> (</w:t>
      </w:r>
      <w:r w:rsidR="00622CDF">
        <w:fldChar w:fldCharType="begin"/>
      </w:r>
      <w:r w:rsidR="00622CDF">
        <w:instrText xml:space="preserve"> REF _Ref70702982 \r \h </w:instrText>
      </w:r>
      <w:r w:rsidR="00622CDF">
        <w:fldChar w:fldCharType="separate"/>
      </w:r>
      <w:r w:rsidR="00484347">
        <w:t>[2]</w:t>
      </w:r>
      <w:r w:rsidR="00622CDF">
        <w:fldChar w:fldCharType="end"/>
      </w:r>
      <w:r w:rsidR="00002BEA">
        <w:t>)</w:t>
      </w:r>
      <w:r w:rsidR="00B93100">
        <w:t>, have 2 options (i.e. using top-down sequence, and using bottom-up procedure)</w:t>
      </w:r>
      <w:r w:rsidR="00A076A8">
        <w:t xml:space="preserve">. </w:t>
      </w:r>
    </w:p>
    <w:p w14:paraId="19C7F582" w14:textId="7123714B" w:rsidR="00DA69D7" w:rsidRDefault="005D085F" w:rsidP="00DA69D7">
      <w:pPr>
        <w:keepNext/>
        <w:jc w:val="center"/>
      </w:pPr>
      <w:r w:rsidRPr="002504FE">
        <w:rPr>
          <w:noProof/>
        </w:rPr>
        <w:drawing>
          <wp:inline distT="0" distB="0" distL="0" distR="0" wp14:anchorId="10AE5670" wp14:editId="28F92E2F">
            <wp:extent cx="6120765" cy="3044190"/>
            <wp:effectExtent l="0" t="0" r="0" b="381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044190"/>
                    </a:xfrm>
                    <a:prstGeom prst="rect">
                      <a:avLst/>
                    </a:prstGeom>
                    <a:noFill/>
                    <a:ln>
                      <a:noFill/>
                    </a:ln>
                  </pic:spPr>
                </pic:pic>
              </a:graphicData>
            </a:graphic>
          </wp:inline>
        </w:drawing>
      </w:r>
    </w:p>
    <w:p w14:paraId="5B77DBB1" w14:textId="77777777" w:rsidR="00411999" w:rsidRDefault="00411999" w:rsidP="00411999">
      <w:pPr>
        <w:pStyle w:val="Caption"/>
        <w:rPr>
          <w:b w:val="0"/>
          <w:bCs w:val="0"/>
        </w:rPr>
      </w:pPr>
      <w:r w:rsidRPr="00BF72BA">
        <w:rPr>
          <w:b w:val="0"/>
          <w:bCs w:val="0"/>
        </w:rPr>
        <w:t xml:space="preserve">Figure </w:t>
      </w:r>
      <w:r>
        <w:rPr>
          <w:b w:val="0"/>
          <w:bCs w:val="0"/>
        </w:rPr>
        <w:t>3</w:t>
      </w:r>
      <w:r w:rsidRPr="00BF72BA">
        <w:rPr>
          <w:b w:val="0"/>
          <w:bCs w:val="0"/>
        </w:rPr>
        <w:t xml:space="preserve">: Options for migration of </w:t>
      </w:r>
      <w:r>
        <w:rPr>
          <w:b w:val="0"/>
          <w:bCs w:val="0"/>
        </w:rPr>
        <w:t>IAB-</w:t>
      </w:r>
      <w:r w:rsidRPr="00BF72BA">
        <w:rPr>
          <w:b w:val="0"/>
          <w:bCs w:val="0"/>
        </w:rPr>
        <w:t xml:space="preserve">MT3 and UE to </w:t>
      </w:r>
      <w:r>
        <w:rPr>
          <w:b w:val="0"/>
          <w:bCs w:val="0"/>
        </w:rPr>
        <w:t>IAB-</w:t>
      </w:r>
      <w:r w:rsidRPr="00BF72BA">
        <w:rPr>
          <w:b w:val="0"/>
          <w:bCs w:val="0"/>
        </w:rPr>
        <w:t>donor-CU2</w:t>
      </w:r>
    </w:p>
    <w:p w14:paraId="380233E2" w14:textId="3414C84F" w:rsidR="005607E1" w:rsidRDefault="0050308B" w:rsidP="00CB1153">
      <w:r>
        <w:t>Before source Donor-CU initiate the handover procedure for the UE/IAB-MT connected to the migrating IAB, the 2</w:t>
      </w:r>
      <w:r w:rsidRPr="0050308B">
        <w:rPr>
          <w:vertAlign w:val="superscript"/>
        </w:rPr>
        <w:t>nd</w:t>
      </w:r>
      <w:r>
        <w:t xml:space="preserve"> IAB-DU shall setup F1 with target Donor-CU. </w:t>
      </w:r>
      <w:r w:rsidR="0041319B">
        <w:t>Both “Source F1-C” between the 1</w:t>
      </w:r>
      <w:r w:rsidR="0041319B" w:rsidRPr="0041319B">
        <w:rPr>
          <w:vertAlign w:val="superscript"/>
        </w:rPr>
        <w:t>st</w:t>
      </w:r>
      <w:r w:rsidR="0041319B">
        <w:t xml:space="preserve"> </w:t>
      </w:r>
      <w:r>
        <w:t>IAB-</w:t>
      </w:r>
      <w:r w:rsidR="0041319B">
        <w:t>DU of the migrating IAB and source Donor, and “Target F1-C” between the 2</w:t>
      </w:r>
      <w:r w:rsidR="0041319B" w:rsidRPr="0041319B">
        <w:rPr>
          <w:vertAlign w:val="superscript"/>
        </w:rPr>
        <w:t>nd</w:t>
      </w:r>
      <w:r w:rsidR="0041319B">
        <w:t xml:space="preserve"> </w:t>
      </w:r>
      <w:r>
        <w:t>IAB-</w:t>
      </w:r>
      <w:r w:rsidR="0041319B">
        <w:t>DU of the migrating IAB and target Donor are simultaneously a</w:t>
      </w:r>
      <w:r w:rsidR="00724024">
        <w:t>ctive</w:t>
      </w:r>
      <w:r w:rsidR="0041319B">
        <w:t>.</w:t>
      </w:r>
      <w:r w:rsidR="00724024">
        <w:t xml:space="preserve"> </w:t>
      </w:r>
    </w:p>
    <w:p w14:paraId="34004F59" w14:textId="2A4298FC" w:rsidR="00DA69D7" w:rsidRDefault="000E5954" w:rsidP="00CB1153">
      <w:r>
        <w:t xml:space="preserve">In </w:t>
      </w:r>
      <w:r w:rsidR="00FE02C9">
        <w:t xml:space="preserve">the top-down option, </w:t>
      </w:r>
      <w:r>
        <w:t>the IAB-MT is first HO to target and the “Source F1” established between the 1</w:t>
      </w:r>
      <w:r w:rsidRPr="000E5954">
        <w:rPr>
          <w:vertAlign w:val="superscript"/>
        </w:rPr>
        <w:t>st</w:t>
      </w:r>
      <w:r>
        <w:t xml:space="preserve"> DU and Source </w:t>
      </w:r>
      <w:r w:rsidR="003F7FC6">
        <w:t>Donor</w:t>
      </w:r>
      <w:r>
        <w:t xml:space="preserve"> is </w:t>
      </w:r>
      <w:r w:rsidR="00BA3581">
        <w:t xml:space="preserve">rerouted via the target path. Both “Source F1” and “Target F1” are routed via target path. Source Donor may then initiate the HO procedure for the UE. </w:t>
      </w:r>
      <w:r w:rsidR="003778BA">
        <w:t>An example call flow is shown as below:</w:t>
      </w:r>
    </w:p>
    <w:p w14:paraId="2FBE0C74" w14:textId="0189E04A" w:rsidR="003778BA" w:rsidRDefault="006F508A" w:rsidP="00CB1153">
      <w:r w:rsidRPr="00042FB9">
        <w:rPr>
          <w:rFonts w:cs="Arial"/>
        </w:rPr>
        <w:object w:dxaOrig="25815" w:dyaOrig="27885" w14:anchorId="513F3966">
          <v:shape id="_x0000_i1028" type="#_x0000_t75" style="width:467.05pt;height:504.65pt" o:ole="">
            <v:imagedata r:id="rId20" o:title=""/>
          </v:shape>
          <o:OLEObject Type="Embed" ProgID="Visio.Drawing.11" ShapeID="_x0000_i1028" DrawAspect="Content" ObjectID="_1681887243" r:id="rId21"/>
        </w:object>
      </w:r>
    </w:p>
    <w:p w14:paraId="67C29CE5" w14:textId="56730155" w:rsidR="002B432B" w:rsidRPr="00640C1B" w:rsidRDefault="002B432B" w:rsidP="002B432B">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sidR="00484347">
        <w:rPr>
          <w:noProof/>
        </w:rPr>
        <w:t>3</w:t>
      </w:r>
      <w:r w:rsidRPr="00640C1B">
        <w:rPr>
          <w:b/>
          <w:bCs/>
        </w:rPr>
        <w:fldChar w:fldCharType="end"/>
      </w:r>
      <w:r w:rsidRPr="00640C1B">
        <w:rPr>
          <w:lang w:val="en-US"/>
        </w:rPr>
        <w:t xml:space="preserve">: </w:t>
      </w:r>
      <w:r w:rsidR="006F508A" w:rsidRPr="006F508A">
        <w:rPr>
          <w:lang w:val="en-US"/>
        </w:rPr>
        <w:t>Example for topology with gradual inter-donor migration using top-down sequence</w:t>
      </w:r>
    </w:p>
    <w:p w14:paraId="083FE79E" w14:textId="77777777" w:rsidR="00863B58" w:rsidRDefault="50CFB5E6" w:rsidP="00CB1153">
      <w:r>
        <w:t xml:space="preserve">Since the individual UE may receive the HO command at different time, it is possible that some UE may </w:t>
      </w:r>
      <w:r w:rsidR="06D8B70F">
        <w:t>connect</w:t>
      </w:r>
      <w:r>
        <w:t xml:space="preserve"> with </w:t>
      </w:r>
      <w:r w:rsidR="006A49B6">
        <w:t>the 2</w:t>
      </w:r>
      <w:r w:rsidR="006A49B6" w:rsidRPr="006A49B6">
        <w:rPr>
          <w:vertAlign w:val="superscript"/>
        </w:rPr>
        <w:t>nd</w:t>
      </w:r>
      <w:r w:rsidR="006A49B6">
        <w:t xml:space="preserve"> IAB-DU (</w:t>
      </w:r>
      <w:r>
        <w:t>target DU</w:t>
      </w:r>
      <w:r w:rsidR="006A49B6">
        <w:t>)</w:t>
      </w:r>
      <w:r>
        <w:t xml:space="preserve"> while other UE still connect with </w:t>
      </w:r>
      <w:r w:rsidR="00295C79">
        <w:t>the 1</w:t>
      </w:r>
      <w:r w:rsidR="00295C79" w:rsidRPr="00295C79">
        <w:rPr>
          <w:vertAlign w:val="superscript"/>
        </w:rPr>
        <w:t>st</w:t>
      </w:r>
      <w:r w:rsidR="00295C79">
        <w:t xml:space="preserve"> IAB-DU (</w:t>
      </w:r>
      <w:r>
        <w:t>source DU</w:t>
      </w:r>
      <w:r w:rsidR="00295C79">
        <w:t>)</w:t>
      </w:r>
      <w:r>
        <w:t xml:space="preserve">. </w:t>
      </w:r>
      <w:proofErr w:type="gramStart"/>
      <w:r>
        <w:t>So</w:t>
      </w:r>
      <w:proofErr w:type="gramEnd"/>
      <w:r>
        <w:t xml:space="preserve"> both DUs and their cells shall be active simultaneously. </w:t>
      </w:r>
      <w:r w:rsidR="0A21EB72">
        <w:t xml:space="preserve">Although the call flow </w:t>
      </w:r>
      <w:r w:rsidR="006250F2">
        <w:t xml:space="preserve">may be </w:t>
      </w:r>
      <w:r w:rsidR="0A21EB72">
        <w:t>workable th</w:t>
      </w:r>
      <w:r w:rsidR="3AF7E4AF">
        <w:t>eoretically</w:t>
      </w:r>
      <w:r w:rsidR="00375E81">
        <w:t xml:space="preserve"> from RAN3 perspective</w:t>
      </w:r>
      <w:r w:rsidR="3AF7E4AF">
        <w:t>, t</w:t>
      </w:r>
      <w:r>
        <w:t xml:space="preserve">his </w:t>
      </w:r>
      <w:r w:rsidR="11FEF9AE">
        <w:t xml:space="preserve">would cause various issues which have not been studied up to now. </w:t>
      </w:r>
    </w:p>
    <w:p w14:paraId="576D892F" w14:textId="32936CCA" w:rsidR="002B432B" w:rsidRDefault="11FEF9AE" w:rsidP="00CB1153">
      <w:r>
        <w:t>Activati</w:t>
      </w:r>
      <w:r w:rsidR="74F170D1">
        <w:t>on of</w:t>
      </w:r>
      <w:r>
        <w:t xml:space="preserve"> additional cell(s) for the migration purposes would likely require new configurations e.g. from OAM which in turn would require such scenario to be </w:t>
      </w:r>
      <w:proofErr w:type="gramStart"/>
      <w:r>
        <w:t>taken into account</w:t>
      </w:r>
      <w:proofErr w:type="gramEnd"/>
      <w:r>
        <w:t xml:space="preserve"> in the network planning. The </w:t>
      </w:r>
      <w:r w:rsidR="261E4E13">
        <w:t xml:space="preserve">cell </w:t>
      </w:r>
      <w:r>
        <w:t>configuration</w:t>
      </w:r>
      <w:r w:rsidR="2F17631C">
        <w:t>s</w:t>
      </w:r>
      <w:r>
        <w:t xml:space="preserve"> should consider at least what carrier</w:t>
      </w:r>
      <w:r w:rsidR="1A1165EB">
        <w:t>(s)</w:t>
      </w:r>
      <w:r>
        <w:t xml:space="preserve"> to use, SSB and access resource configurations aligned with the existing configurations in the network so that any conflicts are avoided, UE measurement configurations for cell monitoring that would still remain valid while allowing to measure new cells of the other IAB-DU</w:t>
      </w:r>
      <w:r w:rsidR="330BD6E3">
        <w:t>, etc.</w:t>
      </w:r>
      <w:r>
        <w:t xml:space="preserve"> If the two DUs share the same radio resources i.e. there would be two logical cell</w:t>
      </w:r>
      <w:r w:rsidR="68244409">
        <w:t>s</w:t>
      </w:r>
      <w:r>
        <w:t xml:space="preserve"> on the same carrier(s), there should be means to avoid overlapping resource scheduling by the two DUs - noting further that the MAC instances are basically independent for the two links. </w:t>
      </w:r>
      <w:r w:rsidR="50269420">
        <w:t>The c</w:t>
      </w:r>
      <w:r>
        <w:t>ases above are just some examples of issues that would be caused by the usage of two DUs and further complexity (both for standards and implementation) can be expected when going into details of such solution.</w:t>
      </w:r>
      <w:r w:rsidR="008579E5">
        <w:t xml:space="preserve"> The </w:t>
      </w:r>
      <w:r w:rsidR="00EE4E1C">
        <w:t xml:space="preserve">feasibility for </w:t>
      </w:r>
      <w:r w:rsidR="008579E5">
        <w:t>2 DUs in an IAB node sh</w:t>
      </w:r>
      <w:r w:rsidR="00EE4E1C">
        <w:t>ould be first discussed and confirmed by RAN1/2</w:t>
      </w:r>
      <w:r w:rsidR="006250F2">
        <w:t xml:space="preserve">/4. </w:t>
      </w:r>
    </w:p>
    <w:p w14:paraId="085E0D30" w14:textId="71C7D801" w:rsidR="006250F2" w:rsidRPr="00D07D97" w:rsidRDefault="006250F2" w:rsidP="00CB1153">
      <w:pPr>
        <w:rPr>
          <w:b/>
          <w:bCs/>
        </w:rPr>
      </w:pPr>
      <w:r>
        <w:rPr>
          <w:b/>
          <w:bCs/>
        </w:rPr>
        <w:lastRenderedPageBreak/>
        <w:t xml:space="preserve">Observation 2: </w:t>
      </w:r>
      <w:r w:rsidR="00B23EF8">
        <w:rPr>
          <w:b/>
          <w:bCs/>
        </w:rPr>
        <w:t xml:space="preserve">Inter-Donor migrating using </w:t>
      </w:r>
      <w:r w:rsidR="008706E0">
        <w:rPr>
          <w:b/>
          <w:bCs/>
        </w:rPr>
        <w:t xml:space="preserve">2 </w:t>
      </w:r>
      <w:r w:rsidR="007458F5">
        <w:rPr>
          <w:b/>
          <w:bCs/>
        </w:rPr>
        <w:t>IAB</w:t>
      </w:r>
      <w:r>
        <w:rPr>
          <w:b/>
          <w:bCs/>
        </w:rPr>
        <w:t>-DU in an IAB node may b</w:t>
      </w:r>
      <w:r w:rsidR="00B23EF8">
        <w:rPr>
          <w:b/>
          <w:bCs/>
        </w:rPr>
        <w:t xml:space="preserve">e workable from RAN3 perspective, but </w:t>
      </w:r>
      <w:r w:rsidR="003F3EFD">
        <w:rPr>
          <w:b/>
          <w:bCs/>
        </w:rPr>
        <w:t>it ha</w:t>
      </w:r>
      <w:r w:rsidR="00A8712F">
        <w:rPr>
          <w:b/>
          <w:bCs/>
        </w:rPr>
        <w:t>s various</w:t>
      </w:r>
      <w:r w:rsidR="003F3EFD">
        <w:rPr>
          <w:b/>
          <w:bCs/>
        </w:rPr>
        <w:t xml:space="preserve"> issues related to RAN1/2/4</w:t>
      </w:r>
      <w:r w:rsidR="002D57C3">
        <w:rPr>
          <w:b/>
          <w:bCs/>
        </w:rPr>
        <w:t xml:space="preserve"> that have not been studied up to now. </w:t>
      </w:r>
    </w:p>
    <w:p w14:paraId="4BBB4DD9" w14:textId="41727BA5" w:rsidR="00670E5F" w:rsidRPr="00D07D97" w:rsidRDefault="00670E5F" w:rsidP="00670E5F">
      <w:pPr>
        <w:rPr>
          <w:b/>
          <w:bCs/>
        </w:rPr>
      </w:pPr>
      <w:r>
        <w:rPr>
          <w:b/>
          <w:bCs/>
        </w:rPr>
        <w:t xml:space="preserve">Proposal </w:t>
      </w:r>
      <w:r w:rsidR="00CE4BBB">
        <w:rPr>
          <w:b/>
          <w:bCs/>
        </w:rPr>
        <w:t>3</w:t>
      </w:r>
      <w:r>
        <w:rPr>
          <w:b/>
          <w:bCs/>
        </w:rPr>
        <w:t xml:space="preserve">: Before RAN3 make decision for 2 IAB-DU based solution, RAN3 should send LS to RAN1/2/4 on the feasibility for an IAB node having </w:t>
      </w:r>
      <w:r w:rsidRPr="00670E5F">
        <w:rPr>
          <w:b/>
          <w:bCs/>
        </w:rPr>
        <w:t xml:space="preserve">simultaneously </w:t>
      </w:r>
      <w:r>
        <w:rPr>
          <w:b/>
          <w:bCs/>
        </w:rPr>
        <w:t xml:space="preserve">active IAB-DUs. </w:t>
      </w:r>
    </w:p>
    <w:p w14:paraId="432D98F6" w14:textId="324CAF9C" w:rsidR="007A1468" w:rsidRDefault="00DF24DD" w:rsidP="00CB1153">
      <w:r>
        <w:t>In case</w:t>
      </w:r>
      <w:r w:rsidR="008A35D4">
        <w:t xml:space="preserve"> the IAB-DU is migrated to target Donor, all UEs will be migrated to target Donor. It does not make sense to leave some UEs in the source </w:t>
      </w:r>
      <w:proofErr w:type="gramStart"/>
      <w:r w:rsidR="008A35D4">
        <w:t>Donor, and</w:t>
      </w:r>
      <w:proofErr w:type="gramEnd"/>
      <w:r w:rsidR="008A35D4">
        <w:t xml:space="preserve"> move other UEs to target Donor. </w:t>
      </w:r>
      <w:r w:rsidR="00182595">
        <w:t xml:space="preserve">This will cause signalling storm due to possibility many UE served by the migration IAB and descendant IAB. </w:t>
      </w:r>
      <w:r w:rsidR="007A1468">
        <w:t xml:space="preserve">In last meeting, there was comment that migrating IAB-DU can support the load balancing between the Donors. However, the signalling storm due to the IAB-DU migration may cause the load issue in the source Donor even worse. </w:t>
      </w:r>
      <w:r w:rsidR="00741EB9">
        <w:t xml:space="preserve">We do not think it is a valid argument that migrating IAB-DU can support the load balancing. </w:t>
      </w:r>
    </w:p>
    <w:p w14:paraId="3F5B61F0" w14:textId="72F68695" w:rsidR="001858ED" w:rsidRDefault="007A1468" w:rsidP="00CB1153">
      <w:r>
        <w:t xml:space="preserve">In addition, </w:t>
      </w:r>
      <w:r w:rsidR="00182595">
        <w:t xml:space="preserve">Rel-17 does not consider the migration due to the mobility, so </w:t>
      </w:r>
      <w:r w:rsidR="00A655CB">
        <w:t>the migration is likely temporary</w:t>
      </w:r>
      <w:r w:rsidR="005779D2">
        <w:t xml:space="preserve"> (e.g. due to RF condition varies)</w:t>
      </w:r>
      <w:r w:rsidR="00A655CB">
        <w:t xml:space="preserve">. Otherwise, the network planning shall configure the IAB to use target Donor from its deployment. If the IAB-DU and UEs are migrated to target Donor when the RF condition </w:t>
      </w:r>
      <w:r w:rsidR="005B3F83">
        <w:t>varies,</w:t>
      </w:r>
      <w:r w:rsidR="00A655CB">
        <w:t xml:space="preserve"> </w:t>
      </w:r>
      <w:r w:rsidR="003D5607">
        <w:t>It is very likely that there will be another migration may happen soon, and the IAB-DU and UEs</w:t>
      </w:r>
      <w:r w:rsidR="00A655CB">
        <w:t xml:space="preserve"> will be migrated back to the source Donor when the RF condition becomes better. </w:t>
      </w:r>
    </w:p>
    <w:p w14:paraId="45537B1B" w14:textId="0F23D739" w:rsidR="00A655CB" w:rsidRDefault="001858ED" w:rsidP="00CB1153">
      <w:r>
        <w:t>Due the uncertainty of the 2 IAB-DU, and the impact, we prefer to not migrate IAB-DU and UEs to target Donor in Rel-17.</w:t>
      </w:r>
    </w:p>
    <w:p w14:paraId="5B42CD38" w14:textId="0ADE3912" w:rsidR="001858ED" w:rsidRPr="00D07D97" w:rsidRDefault="001858ED" w:rsidP="001858ED">
      <w:pPr>
        <w:rPr>
          <w:b/>
          <w:bCs/>
        </w:rPr>
      </w:pPr>
      <w:r>
        <w:rPr>
          <w:b/>
          <w:bCs/>
        </w:rPr>
        <w:t xml:space="preserve">Proposal </w:t>
      </w:r>
      <w:r w:rsidR="004709E6">
        <w:rPr>
          <w:b/>
          <w:bCs/>
        </w:rPr>
        <w:t>4</w:t>
      </w:r>
      <w:r>
        <w:rPr>
          <w:b/>
          <w:bCs/>
        </w:rPr>
        <w:t xml:space="preserve">: RAN3 does not discuss IAB-DU migration in Rel-17. </w:t>
      </w:r>
    </w:p>
    <w:p w14:paraId="265BB219" w14:textId="26CC3FC7" w:rsidR="00A655CB" w:rsidRDefault="00A655CB" w:rsidP="00CB1153"/>
    <w:p w14:paraId="19F3ABBB" w14:textId="4A8F640A" w:rsidR="0007278E" w:rsidRDefault="00CA10CC" w:rsidP="0007278E">
      <w:pPr>
        <w:pStyle w:val="Heading2"/>
        <w:ind w:left="1134" w:hanging="1134"/>
        <w:rPr>
          <w:rFonts w:eastAsia="宋体"/>
          <w:lang w:eastAsia="en-US"/>
        </w:rPr>
      </w:pPr>
      <w:r>
        <w:rPr>
          <w:rFonts w:eastAsia="宋体"/>
          <w:lang w:eastAsia="en-US"/>
        </w:rPr>
        <w:t>3</w:t>
      </w:r>
      <w:r w:rsidR="0007278E" w:rsidRPr="00640EFB">
        <w:rPr>
          <w:rFonts w:eastAsia="宋体"/>
          <w:lang w:eastAsia="en-US"/>
        </w:rPr>
        <w:t>.</w:t>
      </w:r>
      <w:r w:rsidR="0007278E">
        <w:rPr>
          <w:rFonts w:eastAsia="宋体"/>
          <w:lang w:eastAsia="en-US"/>
        </w:rPr>
        <w:t>2</w:t>
      </w:r>
      <w:r w:rsidR="0007278E" w:rsidRPr="00640EFB">
        <w:rPr>
          <w:rFonts w:eastAsia="宋体"/>
          <w:lang w:eastAsia="en-US"/>
        </w:rPr>
        <w:t xml:space="preserve">. </w:t>
      </w:r>
      <w:r>
        <w:rPr>
          <w:rFonts w:eastAsia="宋体"/>
          <w:lang w:eastAsia="en-US"/>
        </w:rPr>
        <w:t>No IAB-DU migration</w:t>
      </w:r>
      <w:r w:rsidR="0007278E">
        <w:rPr>
          <w:rFonts w:eastAsia="宋体"/>
          <w:lang w:eastAsia="en-US"/>
        </w:rPr>
        <w:t xml:space="preserve"> - </w:t>
      </w:r>
      <w:r w:rsidR="0007278E" w:rsidRPr="00BB0538">
        <w:rPr>
          <w:rFonts w:eastAsia="宋体"/>
          <w:lang w:eastAsia="en-US"/>
        </w:rPr>
        <w:t xml:space="preserve">UE context </w:t>
      </w:r>
      <w:r w:rsidR="0007278E">
        <w:rPr>
          <w:rFonts w:eastAsia="宋体"/>
          <w:lang w:eastAsia="en-US"/>
        </w:rPr>
        <w:t>remains in source</w:t>
      </w:r>
      <w:r w:rsidR="0007278E" w:rsidRPr="00BB0538">
        <w:rPr>
          <w:rFonts w:eastAsia="宋体"/>
          <w:lang w:eastAsia="en-US"/>
        </w:rPr>
        <w:t xml:space="preserve"> Donor</w:t>
      </w:r>
    </w:p>
    <w:p w14:paraId="1D373473" w14:textId="0F07859F" w:rsidR="009F7528" w:rsidRDefault="003364D1" w:rsidP="00CB1153">
      <w:r w:rsidRPr="003364D1">
        <w:t>In th</w:t>
      </w:r>
      <w:r>
        <w:t xml:space="preserve">is option, </w:t>
      </w:r>
      <w:r w:rsidR="0022741B">
        <w:t xml:space="preserve">only the IAB-MT context is moved to target Donor during the HO procedure for the IAB-MT. </w:t>
      </w:r>
      <w:r w:rsidR="009F7528">
        <w:t xml:space="preserve">This may be </w:t>
      </w:r>
      <w:proofErr w:type="gramStart"/>
      <w:r w:rsidR="009F7528">
        <w:t>similar to</w:t>
      </w:r>
      <w:proofErr w:type="gramEnd"/>
      <w:r w:rsidR="009F7528">
        <w:t xml:space="preserve"> the Intermediate stage Option 1</w:t>
      </w:r>
      <w:r w:rsidR="002E6827">
        <w:t xml:space="preserve"> in Option</w:t>
      </w:r>
      <w:r w:rsidR="00171103">
        <w:t xml:space="preserve"> 1b</w:t>
      </w:r>
      <w:r w:rsidR="009F7528">
        <w:t xml:space="preserve">, but this intermediate Stage is the final Stage in this Option. </w:t>
      </w:r>
    </w:p>
    <w:p w14:paraId="2D00966E" w14:textId="5A20AE11" w:rsidR="003364D1" w:rsidRDefault="0022741B" w:rsidP="0022741B">
      <w:pPr>
        <w:jc w:val="center"/>
      </w:pPr>
      <w:r>
        <w:object w:dxaOrig="6390" w:dyaOrig="4245" w14:anchorId="6FE5B369">
          <v:shape id="_x0000_i1029" type="#_x0000_t75" style="width:319.3pt;height:212.25pt" o:ole="">
            <v:imagedata r:id="rId22" o:title=""/>
          </v:shape>
          <o:OLEObject Type="Embed" ProgID="Visio.Drawing.15" ShapeID="_x0000_i1029" DrawAspect="Content" ObjectID="_1681887244" r:id="rId23"/>
        </w:object>
      </w:r>
    </w:p>
    <w:p w14:paraId="1C7233F3" w14:textId="6D09B20B" w:rsidR="00FD79D2" w:rsidRPr="00640C1B" w:rsidRDefault="00FD79D2" w:rsidP="00FD79D2">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sidR="00484347">
        <w:rPr>
          <w:noProof/>
        </w:rPr>
        <w:t>4</w:t>
      </w:r>
      <w:r w:rsidRPr="00640C1B">
        <w:rPr>
          <w:b/>
          <w:bCs/>
        </w:rPr>
        <w:fldChar w:fldCharType="end"/>
      </w:r>
      <w:r w:rsidRPr="00640C1B">
        <w:rPr>
          <w:lang w:val="en-US"/>
        </w:rPr>
        <w:t xml:space="preserve">: Example for </w:t>
      </w:r>
      <w:r w:rsidR="00D44856">
        <w:rPr>
          <w:lang w:val="en-US"/>
        </w:rPr>
        <w:t>Option 2</w:t>
      </w:r>
    </w:p>
    <w:p w14:paraId="4DB2A227" w14:textId="5287902D" w:rsidR="006C5D55" w:rsidRDefault="00390826" w:rsidP="00CB1153">
      <w:r>
        <w:t xml:space="preserve">Considering </w:t>
      </w:r>
      <w:r w:rsidR="0081583D">
        <w:t xml:space="preserve">the main </w:t>
      </w:r>
      <w:r w:rsidR="00AD0201">
        <w:t xml:space="preserve">migration </w:t>
      </w:r>
      <w:r w:rsidR="0081583D">
        <w:t xml:space="preserve">scenario is </w:t>
      </w:r>
      <w:r w:rsidR="00AD0201">
        <w:t xml:space="preserve">not due to the mobility, </w:t>
      </w:r>
      <w:r w:rsidR="0081583D">
        <w:t>it may be acceptable that the UE context remains in the source Donor.</w:t>
      </w:r>
      <w:r w:rsidR="00681B9E">
        <w:t xml:space="preserve"> </w:t>
      </w:r>
      <w:r w:rsidR="006C5D55">
        <w:t>Since the UE is still served by the source Donor after the migration, the migration does not affect the UE. For the descendant IAB, it only needs to be reconfigured with the new UL Routing ID, IP address, etc. This may be a simple reconfiguration.</w:t>
      </w:r>
    </w:p>
    <w:p w14:paraId="7AF0704F" w14:textId="476D7873" w:rsidR="003364D1" w:rsidRDefault="00155096" w:rsidP="00CB1153">
      <w:r>
        <w:t xml:space="preserve">Later, when the migrating IAB is back to the source Donor, it only requires small signalling for the IAB-MT and descendant IAB, e.g. to HO the migrating IAB-MT to source </w:t>
      </w:r>
      <w:proofErr w:type="gramStart"/>
      <w:r>
        <w:t>Donor, and</w:t>
      </w:r>
      <w:proofErr w:type="gramEnd"/>
      <w:r>
        <w:t xml:space="preserve"> reconfigure the descendant IAB. </w:t>
      </w:r>
      <w:r w:rsidR="00AC508A">
        <w:t>When t</w:t>
      </w:r>
      <w:r w:rsidR="00681B9E">
        <w:t xml:space="preserve">he inter-Donor topology redundancy is supported, this solution may not require </w:t>
      </w:r>
      <w:r w:rsidR="00532D35">
        <w:t>other</w:t>
      </w:r>
      <w:r w:rsidR="00681B9E">
        <w:t xml:space="preserve"> changes</w:t>
      </w:r>
      <w:r w:rsidR="009545E8">
        <w:t xml:space="preserve">. </w:t>
      </w:r>
    </w:p>
    <w:p w14:paraId="487BE929" w14:textId="0DC44C45" w:rsidR="005D6F4A" w:rsidRPr="00681B9E" w:rsidRDefault="00681B9E" w:rsidP="00CB1153">
      <w:pPr>
        <w:rPr>
          <w:b/>
          <w:bCs/>
        </w:rPr>
      </w:pPr>
      <w:r>
        <w:rPr>
          <w:b/>
          <w:bCs/>
        </w:rPr>
        <w:t xml:space="preserve">Proposal </w:t>
      </w:r>
      <w:r w:rsidR="00A13090">
        <w:rPr>
          <w:b/>
          <w:bCs/>
        </w:rPr>
        <w:t>5</w:t>
      </w:r>
      <w:r>
        <w:rPr>
          <w:b/>
          <w:bCs/>
        </w:rPr>
        <w:t xml:space="preserve">: RAN3 </w:t>
      </w:r>
      <w:r w:rsidR="00092274">
        <w:rPr>
          <w:b/>
          <w:bCs/>
        </w:rPr>
        <w:t>adopt the solution that UE context remains in source Donor as a starting point</w:t>
      </w:r>
      <w:r w:rsidR="00B16F9C">
        <w:rPr>
          <w:b/>
          <w:bCs/>
        </w:rPr>
        <w:t xml:space="preserve"> for Inter-Donor Topology Adaptation</w:t>
      </w:r>
      <w:r w:rsidR="00092274">
        <w:rPr>
          <w:b/>
          <w:bCs/>
        </w:rPr>
        <w:t xml:space="preserve">. </w:t>
      </w:r>
    </w:p>
    <w:p w14:paraId="2E33F2BB" w14:textId="77777777" w:rsidR="0007278E" w:rsidRDefault="0007278E" w:rsidP="00CB1153">
      <w:pPr>
        <w:rPr>
          <w:b/>
          <w:bCs/>
        </w:rPr>
      </w:pPr>
    </w:p>
    <w:p w14:paraId="6F5F9477" w14:textId="40CF9995" w:rsidR="004F4756" w:rsidRDefault="004F4756" w:rsidP="00952130">
      <w:pPr>
        <w:pStyle w:val="Heading1"/>
      </w:pPr>
      <w:r>
        <w:lastRenderedPageBreak/>
        <w:t>Conclusion</w:t>
      </w:r>
    </w:p>
    <w:p w14:paraId="6AF48151" w14:textId="01DE2B8F" w:rsidR="004F4756" w:rsidRDefault="004F4756" w:rsidP="004F4756">
      <w:r>
        <w:t xml:space="preserve">In this contribution, we have analysed </w:t>
      </w:r>
      <w:r w:rsidR="00BA1B06">
        <w:t xml:space="preserve">the technical detail on </w:t>
      </w:r>
      <w:r>
        <w:t xml:space="preserve">inter-Donor topology adaptation. Our proposal is: </w:t>
      </w:r>
    </w:p>
    <w:p w14:paraId="18A9907B" w14:textId="77777777" w:rsidR="00CE4BBB" w:rsidRPr="00131ABE" w:rsidRDefault="00CE4BBB" w:rsidP="00CE4BBB">
      <w:pPr>
        <w:widowControl w:val="0"/>
        <w:rPr>
          <w:rFonts w:ascii="Calibri" w:hAnsi="Calibri" w:cs="Calibri"/>
          <w:b/>
          <w:bCs/>
          <w:color w:val="00B050"/>
          <w:sz w:val="16"/>
          <w:szCs w:val="16"/>
        </w:rPr>
      </w:pPr>
      <w:r w:rsidRPr="4B16A57A">
        <w:rPr>
          <w:b/>
          <w:bCs/>
        </w:rPr>
        <w:t xml:space="preserve">Observation 1: When IAB only have one IAB-DU, it is not possible to reuse current HO procedure for the UE, unless a big change is introduced. </w:t>
      </w:r>
    </w:p>
    <w:p w14:paraId="4F3CB307" w14:textId="66ACE955" w:rsidR="000C11A3" w:rsidRDefault="000C11A3" w:rsidP="000C11A3">
      <w:pPr>
        <w:rPr>
          <w:b/>
          <w:bCs/>
        </w:rPr>
      </w:pPr>
      <w:r>
        <w:rPr>
          <w:b/>
          <w:bCs/>
        </w:rPr>
        <w:t xml:space="preserve">Observation 2: Inter-Donor migrating using 2 IAB-DU in an IAB node may be workable from RAN3 perspective, but it has various issues related to RAN1/2/4 that have not been studied up to now. </w:t>
      </w:r>
    </w:p>
    <w:p w14:paraId="12806143" w14:textId="77777777" w:rsidR="000C11A3" w:rsidRPr="00D07D97" w:rsidRDefault="000C11A3" w:rsidP="000C11A3">
      <w:pPr>
        <w:rPr>
          <w:b/>
          <w:bCs/>
        </w:rPr>
      </w:pPr>
      <w:bookmarkStart w:id="3" w:name="_GoBack"/>
      <w:bookmarkEnd w:id="3"/>
    </w:p>
    <w:p w14:paraId="2FDCC440" w14:textId="77777777" w:rsidR="000C11A3" w:rsidRDefault="000C11A3" w:rsidP="000C11A3">
      <w:pPr>
        <w:rPr>
          <w:b/>
          <w:bCs/>
        </w:rPr>
      </w:pPr>
      <w:r>
        <w:rPr>
          <w:b/>
          <w:bCs/>
        </w:rPr>
        <w:t>Proposal 1: RAN3 agree with following proposals</w:t>
      </w:r>
    </w:p>
    <w:p w14:paraId="43618AF1" w14:textId="77777777" w:rsidR="000C11A3" w:rsidRDefault="000C11A3" w:rsidP="000C11A3">
      <w:pPr>
        <w:pStyle w:val="ListParagraph"/>
        <w:numPr>
          <w:ilvl w:val="0"/>
          <w:numId w:val="29"/>
        </w:numPr>
        <w:rPr>
          <w:b/>
          <w:bCs/>
        </w:rPr>
      </w:pPr>
      <w:r w:rsidRPr="007359AC">
        <w:rPr>
          <w:b/>
          <w:bCs/>
        </w:rPr>
        <w:t xml:space="preserve">turn the previous WA into agreement: NRDC is supported as a baseline procedure for the IAB-MT’s simultaneous connectivity to two IAB-donors </w:t>
      </w:r>
    </w:p>
    <w:p w14:paraId="101C192B" w14:textId="77777777" w:rsidR="000C11A3" w:rsidRPr="007359AC" w:rsidRDefault="000C11A3" w:rsidP="000C11A3">
      <w:pPr>
        <w:pStyle w:val="ListParagraph"/>
        <w:numPr>
          <w:ilvl w:val="0"/>
          <w:numId w:val="29"/>
        </w:numPr>
        <w:rPr>
          <w:b/>
          <w:bCs/>
        </w:rPr>
      </w:pPr>
      <w:r>
        <w:rPr>
          <w:b/>
          <w:bCs/>
        </w:rPr>
        <w:t>No discuss on DAPS-like solution in Rel-17.</w:t>
      </w:r>
    </w:p>
    <w:p w14:paraId="3C188FE8" w14:textId="77777777" w:rsidR="00CE4BBB" w:rsidRDefault="00CE4BBB" w:rsidP="00CE4BBB">
      <w:pPr>
        <w:rPr>
          <w:b/>
          <w:bCs/>
        </w:rPr>
      </w:pPr>
      <w:r w:rsidRPr="4B16A57A">
        <w:rPr>
          <w:b/>
          <w:bCs/>
        </w:rPr>
        <w:t xml:space="preserve">Proposal </w:t>
      </w:r>
      <w:r>
        <w:rPr>
          <w:b/>
          <w:bCs/>
        </w:rPr>
        <w:t>2</w:t>
      </w:r>
      <w:r w:rsidRPr="4B16A57A">
        <w:rPr>
          <w:b/>
          <w:bCs/>
        </w:rPr>
        <w:t>: RAN3 do not discuss the IAB-DU migration, when the IAB only have one IAB-DU.</w:t>
      </w:r>
    </w:p>
    <w:p w14:paraId="7F45FEA9" w14:textId="4EFC9BEC" w:rsidR="00CE4BBB" w:rsidRPr="00D07D97" w:rsidRDefault="00CE4BBB" w:rsidP="00CE4BBB">
      <w:pPr>
        <w:rPr>
          <w:b/>
          <w:bCs/>
        </w:rPr>
      </w:pPr>
      <w:r>
        <w:rPr>
          <w:b/>
          <w:bCs/>
        </w:rPr>
        <w:t xml:space="preserve">Proposal </w:t>
      </w:r>
      <w:r w:rsidR="00F33185">
        <w:rPr>
          <w:b/>
          <w:bCs/>
        </w:rPr>
        <w:t>3</w:t>
      </w:r>
      <w:r>
        <w:rPr>
          <w:b/>
          <w:bCs/>
        </w:rPr>
        <w:t xml:space="preserve">: Before RAN3 make decision for 2 IAB-DU based solution, RAN3 should send LS to RAN1/2/4 on the feasibility for an IAB node having </w:t>
      </w:r>
      <w:r w:rsidRPr="00670E5F">
        <w:rPr>
          <w:b/>
          <w:bCs/>
        </w:rPr>
        <w:t xml:space="preserve">simultaneously </w:t>
      </w:r>
      <w:r>
        <w:rPr>
          <w:b/>
          <w:bCs/>
        </w:rPr>
        <w:t xml:space="preserve">active IAB-DUs. </w:t>
      </w:r>
    </w:p>
    <w:p w14:paraId="29047152" w14:textId="77777777" w:rsidR="00CF30C1" w:rsidRPr="00D07D97" w:rsidRDefault="00CF30C1" w:rsidP="00CF30C1">
      <w:pPr>
        <w:rPr>
          <w:b/>
          <w:bCs/>
        </w:rPr>
      </w:pPr>
      <w:r>
        <w:rPr>
          <w:b/>
          <w:bCs/>
        </w:rPr>
        <w:t xml:space="preserve">Proposal 4: RAN3 does not discuss IAB-DU migration in Rel-17. </w:t>
      </w:r>
    </w:p>
    <w:p w14:paraId="50D41A97" w14:textId="77777777" w:rsidR="00A13090" w:rsidRPr="00681B9E" w:rsidRDefault="00A13090" w:rsidP="00A13090">
      <w:pPr>
        <w:rPr>
          <w:b/>
          <w:bCs/>
        </w:rPr>
      </w:pPr>
      <w:r>
        <w:rPr>
          <w:b/>
          <w:bCs/>
        </w:rPr>
        <w:t xml:space="preserve">Proposal 5: RAN3 adopt the solution that UE context remains in source Donor as a starting point for Inter-Donor Topology Adaptation. </w:t>
      </w:r>
    </w:p>
    <w:p w14:paraId="5FCEB95A" w14:textId="77777777" w:rsidR="00CE4BBB" w:rsidRPr="004F4756" w:rsidRDefault="00CE4BBB" w:rsidP="004C29DC"/>
    <w:p w14:paraId="05E4427C" w14:textId="17FA10B4" w:rsidR="00952130" w:rsidRDefault="00952130" w:rsidP="00952130">
      <w:pPr>
        <w:pStyle w:val="Heading1"/>
      </w:pPr>
      <w:r>
        <w:t>References</w:t>
      </w:r>
    </w:p>
    <w:p w14:paraId="4C758BC3" w14:textId="725ABBDC" w:rsidR="00ED5CAF" w:rsidRPr="0067794B" w:rsidRDefault="00E007B2" w:rsidP="00ED5CAF">
      <w:pPr>
        <w:numPr>
          <w:ilvl w:val="0"/>
          <w:numId w:val="28"/>
        </w:numPr>
        <w:spacing w:after="180"/>
        <w:jc w:val="left"/>
        <w:rPr>
          <w:lang w:val="fi-FI"/>
        </w:rPr>
      </w:pPr>
      <w:r w:rsidRPr="00E007B2">
        <w:t>R3-211199</w:t>
      </w:r>
      <w:r w:rsidR="00904D21" w:rsidRPr="00904D21">
        <w:t xml:space="preserve">, </w:t>
      </w:r>
      <w:r w:rsidR="006D79B3" w:rsidRPr="006D79B3">
        <w:t xml:space="preserve">CB#34 </w:t>
      </w:r>
      <w:proofErr w:type="spellStart"/>
      <w:r w:rsidR="006D79B3" w:rsidRPr="006D79B3">
        <w:t>IAB_MigrationProcedureDetails</w:t>
      </w:r>
      <w:proofErr w:type="spellEnd"/>
    </w:p>
    <w:p w14:paraId="437D4400" w14:textId="77777777" w:rsidR="001D5012" w:rsidRDefault="001D5012" w:rsidP="00ED5CAF">
      <w:pPr>
        <w:numPr>
          <w:ilvl w:val="0"/>
          <w:numId w:val="28"/>
        </w:numPr>
        <w:spacing w:after="180"/>
        <w:jc w:val="left"/>
        <w:rPr>
          <w:lang w:val="fi-FI"/>
        </w:rPr>
      </w:pPr>
      <w:bookmarkStart w:id="4" w:name="_Ref70702982"/>
      <w:r w:rsidRPr="001D5012">
        <w:rPr>
          <w:lang w:val="fi-FI"/>
        </w:rPr>
        <w:t>R3-210347, (TP for BL CR to 38.401) Inter-</w:t>
      </w:r>
      <w:proofErr w:type="spellStart"/>
      <w:r w:rsidRPr="001D5012">
        <w:rPr>
          <w:lang w:val="fi-FI"/>
        </w:rPr>
        <w:t>donor</w:t>
      </w:r>
      <w:proofErr w:type="spellEnd"/>
      <w:r w:rsidRPr="001D5012">
        <w:rPr>
          <w:lang w:val="fi-FI"/>
        </w:rPr>
        <w:t xml:space="preserve"> </w:t>
      </w:r>
      <w:proofErr w:type="spellStart"/>
      <w:r w:rsidRPr="001D5012">
        <w:rPr>
          <w:lang w:val="fi-FI"/>
        </w:rPr>
        <w:t>Topology</w:t>
      </w:r>
      <w:proofErr w:type="spellEnd"/>
      <w:r w:rsidRPr="001D5012">
        <w:rPr>
          <w:lang w:val="fi-FI"/>
        </w:rPr>
        <w:t xml:space="preserve"> </w:t>
      </w:r>
      <w:proofErr w:type="spellStart"/>
      <w:r w:rsidRPr="001D5012">
        <w:rPr>
          <w:lang w:val="fi-FI"/>
        </w:rPr>
        <w:t>Adaptation</w:t>
      </w:r>
      <w:proofErr w:type="spellEnd"/>
      <w:r w:rsidRPr="001D5012">
        <w:rPr>
          <w:lang w:val="fi-FI"/>
        </w:rPr>
        <w:t xml:space="preserve"> </w:t>
      </w:r>
      <w:proofErr w:type="spellStart"/>
      <w:r w:rsidRPr="001D5012">
        <w:rPr>
          <w:lang w:val="fi-FI"/>
        </w:rPr>
        <w:t>Procedures</w:t>
      </w:r>
      <w:bookmarkEnd w:id="4"/>
      <w:proofErr w:type="spellEnd"/>
      <w:r w:rsidRPr="001D5012">
        <w:rPr>
          <w:lang w:val="fi-FI"/>
        </w:rPr>
        <w:t xml:space="preserve"> </w:t>
      </w:r>
      <w:bookmarkEnd w:id="1"/>
    </w:p>
    <w:sectPr w:rsidR="001D5012" w:rsidSect="0086270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28EFD5A" w16cex:dateUtc="2021-05-06T16:33:22.962Z"/>
  <w16cex:commentExtensible w16cex:durableId="301CC4D0" w16cex:dateUtc="2021-05-06T16:34:53.988Z"/>
  <w16cex:commentExtensible w16cex:durableId="390D7248" w16cex:dateUtc="2021-05-06T16:35:21.37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0359A" w14:textId="77777777" w:rsidR="00211F58" w:rsidRDefault="00211F58">
      <w:r>
        <w:separator/>
      </w:r>
    </w:p>
  </w:endnote>
  <w:endnote w:type="continuationSeparator" w:id="0">
    <w:p w14:paraId="7A569E3E" w14:textId="77777777" w:rsidR="00211F58" w:rsidRDefault="00211F58">
      <w:r>
        <w:continuationSeparator/>
      </w:r>
    </w:p>
  </w:endnote>
  <w:endnote w:type="continuationNotice" w:id="1">
    <w:p w14:paraId="2241F433" w14:textId="77777777" w:rsidR="00211F58" w:rsidRDefault="00211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C962E" w14:textId="77777777" w:rsidR="00211F58" w:rsidRDefault="00211F58">
      <w:r>
        <w:separator/>
      </w:r>
    </w:p>
  </w:footnote>
  <w:footnote w:type="continuationSeparator" w:id="0">
    <w:p w14:paraId="22A62A9C" w14:textId="77777777" w:rsidR="00211F58" w:rsidRDefault="00211F58">
      <w:r>
        <w:continuationSeparator/>
      </w:r>
    </w:p>
  </w:footnote>
  <w:footnote w:type="continuationNotice" w:id="1">
    <w:p w14:paraId="0B53C4D3" w14:textId="77777777" w:rsidR="00211F58" w:rsidRDefault="00211F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hybridMultilevel"/>
    <w:tmpl w:val="FFFFFFFF"/>
    <w:lvl w:ilvl="0" w:tplc="0E5C4274">
      <w:numFmt w:val="decimal"/>
      <w:lvlText w:val="*"/>
      <w:lvlJc w:val="left"/>
    </w:lvl>
    <w:lvl w:ilvl="1" w:tplc="B3C8B50A">
      <w:numFmt w:val="decimal"/>
      <w:lvlText w:val=""/>
      <w:lvlJc w:val="left"/>
    </w:lvl>
    <w:lvl w:ilvl="2" w:tplc="F75AE4FE">
      <w:numFmt w:val="decimal"/>
      <w:lvlText w:val=""/>
      <w:lvlJc w:val="left"/>
    </w:lvl>
    <w:lvl w:ilvl="3" w:tplc="79ECF850">
      <w:numFmt w:val="decimal"/>
      <w:lvlText w:val=""/>
      <w:lvlJc w:val="left"/>
    </w:lvl>
    <w:lvl w:ilvl="4" w:tplc="A5E492BA">
      <w:numFmt w:val="decimal"/>
      <w:lvlText w:val=""/>
      <w:lvlJc w:val="left"/>
    </w:lvl>
    <w:lvl w:ilvl="5" w:tplc="832EFC28">
      <w:numFmt w:val="decimal"/>
      <w:lvlText w:val=""/>
      <w:lvlJc w:val="left"/>
    </w:lvl>
    <w:lvl w:ilvl="6" w:tplc="388A9028">
      <w:numFmt w:val="decimal"/>
      <w:lvlText w:val=""/>
      <w:lvlJc w:val="left"/>
    </w:lvl>
    <w:lvl w:ilvl="7" w:tplc="F9864D0E">
      <w:numFmt w:val="decimal"/>
      <w:lvlText w:val=""/>
      <w:lvlJc w:val="left"/>
    </w:lvl>
    <w:lvl w:ilvl="8" w:tplc="A59C019E">
      <w:numFmt w:val="decimal"/>
      <w:lvlText w:val=""/>
      <w:lvlJc w:val="left"/>
    </w:lvl>
  </w:abstractNum>
  <w:abstractNum w:abstractNumId="2"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22B67"/>
    <w:multiLevelType w:val="hybridMultilevel"/>
    <w:tmpl w:val="A2A6472E"/>
    <w:lvl w:ilvl="0" w:tplc="A3160E80">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3"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16"/>
  </w:num>
  <w:num w:numId="4">
    <w:abstractNumId w:val="17"/>
  </w:num>
  <w:num w:numId="5">
    <w:abstractNumId w:val="13"/>
  </w:num>
  <w:num w:numId="6">
    <w:abstractNumId w:val="19"/>
  </w:num>
  <w:num w:numId="7">
    <w:abstractNumId w:val="24"/>
  </w:num>
  <w:num w:numId="8">
    <w:abstractNumId w:val="14"/>
  </w:num>
  <w:num w:numId="9">
    <w:abstractNumId w:val="21"/>
  </w:num>
  <w:num w:numId="10">
    <w:abstractNumId w:val="25"/>
  </w:num>
  <w:num w:numId="11">
    <w:abstractNumId w:val="28"/>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8"/>
  </w:num>
  <w:num w:numId="17">
    <w:abstractNumId w:val="23"/>
  </w:num>
  <w:num w:numId="18">
    <w:abstractNumId w:val="27"/>
  </w:num>
  <w:num w:numId="19">
    <w:abstractNumId w:val="10"/>
  </w:num>
  <w:num w:numId="20">
    <w:abstractNumId w:val="1"/>
    <w:lvlOverride w:ilvl="0">
      <w:lvl w:ilvl="0" w:tplc="0E5C4274">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7"/>
  </w:num>
  <w:num w:numId="23">
    <w:abstractNumId w:val="18"/>
  </w:num>
  <w:num w:numId="24">
    <w:abstractNumId w:val="11"/>
  </w:num>
  <w:num w:numId="25">
    <w:abstractNumId w:val="12"/>
  </w:num>
  <w:num w:numId="26">
    <w:abstractNumId w:val="9"/>
  </w:num>
  <w:num w:numId="27">
    <w:abstractNumId w:val="4"/>
  </w:num>
  <w:num w:numId="28">
    <w:abstractNumId w:val="3"/>
  </w:num>
  <w:num w:numId="2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37"/>
    <w:rsid w:val="00002BEA"/>
    <w:rsid w:val="00003047"/>
    <w:rsid w:val="0000324D"/>
    <w:rsid w:val="00003AB7"/>
    <w:rsid w:val="00005436"/>
    <w:rsid w:val="00006446"/>
    <w:rsid w:val="00006896"/>
    <w:rsid w:val="00006B58"/>
    <w:rsid w:val="00006EF6"/>
    <w:rsid w:val="00007CDC"/>
    <w:rsid w:val="00007DB9"/>
    <w:rsid w:val="00010E26"/>
    <w:rsid w:val="00011011"/>
    <w:rsid w:val="0001132D"/>
    <w:rsid w:val="00011B28"/>
    <w:rsid w:val="00011CAD"/>
    <w:rsid w:val="00012C3B"/>
    <w:rsid w:val="00013095"/>
    <w:rsid w:val="000135E0"/>
    <w:rsid w:val="00014C3B"/>
    <w:rsid w:val="00014CC2"/>
    <w:rsid w:val="00015BE3"/>
    <w:rsid w:val="00015D15"/>
    <w:rsid w:val="000163D0"/>
    <w:rsid w:val="00017038"/>
    <w:rsid w:val="000179D1"/>
    <w:rsid w:val="0002084C"/>
    <w:rsid w:val="000212A2"/>
    <w:rsid w:val="00021FEB"/>
    <w:rsid w:val="000226EB"/>
    <w:rsid w:val="000229C4"/>
    <w:rsid w:val="00022DA7"/>
    <w:rsid w:val="000238DA"/>
    <w:rsid w:val="000247D1"/>
    <w:rsid w:val="00025301"/>
    <w:rsid w:val="0002564D"/>
    <w:rsid w:val="00025ECA"/>
    <w:rsid w:val="00027939"/>
    <w:rsid w:val="000302A3"/>
    <w:rsid w:val="0003063B"/>
    <w:rsid w:val="000325B8"/>
    <w:rsid w:val="00033087"/>
    <w:rsid w:val="0003369F"/>
    <w:rsid w:val="00033EC4"/>
    <w:rsid w:val="00034C15"/>
    <w:rsid w:val="00035648"/>
    <w:rsid w:val="00036318"/>
    <w:rsid w:val="0003689A"/>
    <w:rsid w:val="00036BA1"/>
    <w:rsid w:val="00036BC6"/>
    <w:rsid w:val="0003719B"/>
    <w:rsid w:val="00041145"/>
    <w:rsid w:val="00041DE7"/>
    <w:rsid w:val="000422E2"/>
    <w:rsid w:val="00042F22"/>
    <w:rsid w:val="0004367E"/>
    <w:rsid w:val="00044224"/>
    <w:rsid w:val="000444EF"/>
    <w:rsid w:val="000461C1"/>
    <w:rsid w:val="000474B3"/>
    <w:rsid w:val="000505C9"/>
    <w:rsid w:val="0005153D"/>
    <w:rsid w:val="00051FB9"/>
    <w:rsid w:val="00052A07"/>
    <w:rsid w:val="00052AC2"/>
    <w:rsid w:val="000534E3"/>
    <w:rsid w:val="00054CCF"/>
    <w:rsid w:val="00055DBC"/>
    <w:rsid w:val="0005606A"/>
    <w:rsid w:val="000564E8"/>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278E"/>
    <w:rsid w:val="000738B3"/>
    <w:rsid w:val="00073E11"/>
    <w:rsid w:val="00073F8D"/>
    <w:rsid w:val="0007519E"/>
    <w:rsid w:val="00076014"/>
    <w:rsid w:val="0007608F"/>
    <w:rsid w:val="0007615C"/>
    <w:rsid w:val="00077E5F"/>
    <w:rsid w:val="0008036A"/>
    <w:rsid w:val="00081242"/>
    <w:rsid w:val="00081AE6"/>
    <w:rsid w:val="00082443"/>
    <w:rsid w:val="00082E89"/>
    <w:rsid w:val="00083749"/>
    <w:rsid w:val="000846E0"/>
    <w:rsid w:val="000855EB"/>
    <w:rsid w:val="00085B52"/>
    <w:rsid w:val="00085C30"/>
    <w:rsid w:val="00086183"/>
    <w:rsid w:val="000866F2"/>
    <w:rsid w:val="000869A1"/>
    <w:rsid w:val="00086BB7"/>
    <w:rsid w:val="0009009F"/>
    <w:rsid w:val="0009154C"/>
    <w:rsid w:val="00091557"/>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6F4"/>
    <w:rsid w:val="00096D41"/>
    <w:rsid w:val="000970CA"/>
    <w:rsid w:val="00097AAF"/>
    <w:rsid w:val="000A07F6"/>
    <w:rsid w:val="000A0AC7"/>
    <w:rsid w:val="000A17FA"/>
    <w:rsid w:val="000A1AFF"/>
    <w:rsid w:val="000A1B7B"/>
    <w:rsid w:val="000A209B"/>
    <w:rsid w:val="000A2B96"/>
    <w:rsid w:val="000A32DC"/>
    <w:rsid w:val="000A389B"/>
    <w:rsid w:val="000A4941"/>
    <w:rsid w:val="000A56F2"/>
    <w:rsid w:val="000A5FA7"/>
    <w:rsid w:val="000A6974"/>
    <w:rsid w:val="000A72D6"/>
    <w:rsid w:val="000B1A38"/>
    <w:rsid w:val="000B2719"/>
    <w:rsid w:val="000B3A8F"/>
    <w:rsid w:val="000B4AB9"/>
    <w:rsid w:val="000B58C3"/>
    <w:rsid w:val="000B61E9"/>
    <w:rsid w:val="000B6A52"/>
    <w:rsid w:val="000B6CF7"/>
    <w:rsid w:val="000B7D92"/>
    <w:rsid w:val="000C07D6"/>
    <w:rsid w:val="000C11A3"/>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5"/>
    <w:rsid w:val="000D40F8"/>
    <w:rsid w:val="000D4312"/>
    <w:rsid w:val="000D4797"/>
    <w:rsid w:val="000D4A93"/>
    <w:rsid w:val="000D4C42"/>
    <w:rsid w:val="000D51FB"/>
    <w:rsid w:val="000D5249"/>
    <w:rsid w:val="000D55EB"/>
    <w:rsid w:val="000D6862"/>
    <w:rsid w:val="000E02D2"/>
    <w:rsid w:val="000E0527"/>
    <w:rsid w:val="000E1E92"/>
    <w:rsid w:val="000E212C"/>
    <w:rsid w:val="000E291B"/>
    <w:rsid w:val="000E2C4D"/>
    <w:rsid w:val="000E39E6"/>
    <w:rsid w:val="000E3DB8"/>
    <w:rsid w:val="000E3DEC"/>
    <w:rsid w:val="000E4B95"/>
    <w:rsid w:val="000E5954"/>
    <w:rsid w:val="000E6754"/>
    <w:rsid w:val="000F06D6"/>
    <w:rsid w:val="000F0EB1"/>
    <w:rsid w:val="000F1106"/>
    <w:rsid w:val="000F184D"/>
    <w:rsid w:val="000F1873"/>
    <w:rsid w:val="000F26B2"/>
    <w:rsid w:val="000F2B38"/>
    <w:rsid w:val="000F3BE9"/>
    <w:rsid w:val="000F3F6C"/>
    <w:rsid w:val="000F496D"/>
    <w:rsid w:val="000F5EBF"/>
    <w:rsid w:val="000F654E"/>
    <w:rsid w:val="000F6743"/>
    <w:rsid w:val="000F6DF3"/>
    <w:rsid w:val="000F79FD"/>
    <w:rsid w:val="000F7B77"/>
    <w:rsid w:val="0010032E"/>
    <w:rsid w:val="001005FF"/>
    <w:rsid w:val="001007F2"/>
    <w:rsid w:val="00101976"/>
    <w:rsid w:val="00101ECD"/>
    <w:rsid w:val="00102D88"/>
    <w:rsid w:val="001033B5"/>
    <w:rsid w:val="001039E8"/>
    <w:rsid w:val="00103FF4"/>
    <w:rsid w:val="00104334"/>
    <w:rsid w:val="00104E1C"/>
    <w:rsid w:val="001051DE"/>
    <w:rsid w:val="00105AC3"/>
    <w:rsid w:val="0010616B"/>
    <w:rsid w:val="001062FB"/>
    <w:rsid w:val="001063E6"/>
    <w:rsid w:val="0010765A"/>
    <w:rsid w:val="00107E54"/>
    <w:rsid w:val="00112540"/>
    <w:rsid w:val="00112FE9"/>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98D"/>
    <w:rsid w:val="00122F2E"/>
    <w:rsid w:val="00123033"/>
    <w:rsid w:val="0012377F"/>
    <w:rsid w:val="00124314"/>
    <w:rsid w:val="001246A6"/>
    <w:rsid w:val="00125079"/>
    <w:rsid w:val="001255DA"/>
    <w:rsid w:val="00126B4A"/>
    <w:rsid w:val="001303E3"/>
    <w:rsid w:val="00131695"/>
    <w:rsid w:val="001318B5"/>
    <w:rsid w:val="00131ABE"/>
    <w:rsid w:val="00132FD0"/>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2718"/>
    <w:rsid w:val="00143B3A"/>
    <w:rsid w:val="00143F37"/>
    <w:rsid w:val="00144798"/>
    <w:rsid w:val="00144BE6"/>
    <w:rsid w:val="001457F5"/>
    <w:rsid w:val="00145A01"/>
    <w:rsid w:val="001503AE"/>
    <w:rsid w:val="00150E1D"/>
    <w:rsid w:val="001510AB"/>
    <w:rsid w:val="00151E23"/>
    <w:rsid w:val="001526E0"/>
    <w:rsid w:val="001536DF"/>
    <w:rsid w:val="00153B39"/>
    <w:rsid w:val="001541A3"/>
    <w:rsid w:val="0015490C"/>
    <w:rsid w:val="00154AF1"/>
    <w:rsid w:val="00154D2B"/>
    <w:rsid w:val="00155096"/>
    <w:rsid w:val="001551B5"/>
    <w:rsid w:val="001558FD"/>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4"/>
    <w:rsid w:val="001671FD"/>
    <w:rsid w:val="00167BF3"/>
    <w:rsid w:val="00170067"/>
    <w:rsid w:val="00170261"/>
    <w:rsid w:val="0017045C"/>
    <w:rsid w:val="00170F9F"/>
    <w:rsid w:val="00171103"/>
    <w:rsid w:val="001718EC"/>
    <w:rsid w:val="001732EB"/>
    <w:rsid w:val="00173A8E"/>
    <w:rsid w:val="001740A8"/>
    <w:rsid w:val="001741AA"/>
    <w:rsid w:val="00176CAD"/>
    <w:rsid w:val="00177795"/>
    <w:rsid w:val="00180989"/>
    <w:rsid w:val="0018143F"/>
    <w:rsid w:val="0018215E"/>
    <w:rsid w:val="00182595"/>
    <w:rsid w:val="00182FC8"/>
    <w:rsid w:val="001832CC"/>
    <w:rsid w:val="001842B6"/>
    <w:rsid w:val="001858ED"/>
    <w:rsid w:val="00185C8D"/>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3DD5"/>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36D"/>
    <w:rsid w:val="001C760C"/>
    <w:rsid w:val="001C793C"/>
    <w:rsid w:val="001C7C80"/>
    <w:rsid w:val="001C7F15"/>
    <w:rsid w:val="001D1F25"/>
    <w:rsid w:val="001D21C4"/>
    <w:rsid w:val="001D333A"/>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50B7"/>
    <w:rsid w:val="001E542A"/>
    <w:rsid w:val="001E58E2"/>
    <w:rsid w:val="001E59DA"/>
    <w:rsid w:val="001E647F"/>
    <w:rsid w:val="001E6F78"/>
    <w:rsid w:val="001E7AED"/>
    <w:rsid w:val="001F08A2"/>
    <w:rsid w:val="001F08EF"/>
    <w:rsid w:val="001F1D1E"/>
    <w:rsid w:val="001F2204"/>
    <w:rsid w:val="001F29B5"/>
    <w:rsid w:val="001F338B"/>
    <w:rsid w:val="001F3916"/>
    <w:rsid w:val="001F3E5B"/>
    <w:rsid w:val="001F54C5"/>
    <w:rsid w:val="001F5D84"/>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6D22"/>
    <w:rsid w:val="00207480"/>
    <w:rsid w:val="00207FA3"/>
    <w:rsid w:val="00207FBF"/>
    <w:rsid w:val="00210D53"/>
    <w:rsid w:val="00211F58"/>
    <w:rsid w:val="00212A0A"/>
    <w:rsid w:val="00212D46"/>
    <w:rsid w:val="00212E3C"/>
    <w:rsid w:val="00213C50"/>
    <w:rsid w:val="00214344"/>
    <w:rsid w:val="00214799"/>
    <w:rsid w:val="00214DA8"/>
    <w:rsid w:val="00215423"/>
    <w:rsid w:val="002158FA"/>
    <w:rsid w:val="00215C03"/>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2741B"/>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3115"/>
    <w:rsid w:val="00253A77"/>
    <w:rsid w:val="00253F49"/>
    <w:rsid w:val="002542E4"/>
    <w:rsid w:val="002543E9"/>
    <w:rsid w:val="0025455C"/>
    <w:rsid w:val="002548CB"/>
    <w:rsid w:val="002557A2"/>
    <w:rsid w:val="00256483"/>
    <w:rsid w:val="00257321"/>
    <w:rsid w:val="00257543"/>
    <w:rsid w:val="00257A12"/>
    <w:rsid w:val="00260896"/>
    <w:rsid w:val="002617E7"/>
    <w:rsid w:val="00261FC8"/>
    <w:rsid w:val="00262114"/>
    <w:rsid w:val="0026224F"/>
    <w:rsid w:val="002627FC"/>
    <w:rsid w:val="00262CB8"/>
    <w:rsid w:val="00263069"/>
    <w:rsid w:val="00264228"/>
    <w:rsid w:val="00264334"/>
    <w:rsid w:val="0026473E"/>
    <w:rsid w:val="00265FD8"/>
    <w:rsid w:val="00266214"/>
    <w:rsid w:val="00266460"/>
    <w:rsid w:val="00266A84"/>
    <w:rsid w:val="00267C83"/>
    <w:rsid w:val="00267DFD"/>
    <w:rsid w:val="00270AE3"/>
    <w:rsid w:val="002710FD"/>
    <w:rsid w:val="0027144F"/>
    <w:rsid w:val="00271523"/>
    <w:rsid w:val="00271A80"/>
    <w:rsid w:val="00271F3A"/>
    <w:rsid w:val="002720DE"/>
    <w:rsid w:val="00273020"/>
    <w:rsid w:val="00273278"/>
    <w:rsid w:val="002737F4"/>
    <w:rsid w:val="00273F10"/>
    <w:rsid w:val="00274E42"/>
    <w:rsid w:val="00275572"/>
    <w:rsid w:val="00275F1B"/>
    <w:rsid w:val="0027632E"/>
    <w:rsid w:val="00276C20"/>
    <w:rsid w:val="0027787B"/>
    <w:rsid w:val="002778F9"/>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817"/>
    <w:rsid w:val="002950B5"/>
    <w:rsid w:val="00295921"/>
    <w:rsid w:val="00295C79"/>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700"/>
    <w:rsid w:val="002A5C9F"/>
    <w:rsid w:val="002A5DB4"/>
    <w:rsid w:val="002A633C"/>
    <w:rsid w:val="002A6A54"/>
    <w:rsid w:val="002A6BF0"/>
    <w:rsid w:val="002B16FE"/>
    <w:rsid w:val="002B238E"/>
    <w:rsid w:val="002B24D6"/>
    <w:rsid w:val="002B361C"/>
    <w:rsid w:val="002B430A"/>
    <w:rsid w:val="002B432B"/>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1050"/>
    <w:rsid w:val="002E13BD"/>
    <w:rsid w:val="002E17F2"/>
    <w:rsid w:val="002E386D"/>
    <w:rsid w:val="002E44AD"/>
    <w:rsid w:val="002E4527"/>
    <w:rsid w:val="002E45E7"/>
    <w:rsid w:val="002E481A"/>
    <w:rsid w:val="002E4D97"/>
    <w:rsid w:val="002E5EAB"/>
    <w:rsid w:val="002E63BD"/>
    <w:rsid w:val="002E6827"/>
    <w:rsid w:val="002E6D26"/>
    <w:rsid w:val="002E7CAE"/>
    <w:rsid w:val="002F0081"/>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E37"/>
    <w:rsid w:val="00303E39"/>
    <w:rsid w:val="00304338"/>
    <w:rsid w:val="00304710"/>
    <w:rsid w:val="00304DE9"/>
    <w:rsid w:val="0030501F"/>
    <w:rsid w:val="003070BB"/>
    <w:rsid w:val="00307BA1"/>
    <w:rsid w:val="00310BF9"/>
    <w:rsid w:val="00310C25"/>
    <w:rsid w:val="00310CEB"/>
    <w:rsid w:val="00311702"/>
    <w:rsid w:val="00311B31"/>
    <w:rsid w:val="00311BB6"/>
    <w:rsid w:val="00311CCB"/>
    <w:rsid w:val="00311E82"/>
    <w:rsid w:val="003127DA"/>
    <w:rsid w:val="00312FE9"/>
    <w:rsid w:val="0031309F"/>
    <w:rsid w:val="003137D1"/>
    <w:rsid w:val="00313FD6"/>
    <w:rsid w:val="003143BD"/>
    <w:rsid w:val="00317B01"/>
    <w:rsid w:val="00317E57"/>
    <w:rsid w:val="003203ED"/>
    <w:rsid w:val="00321B8C"/>
    <w:rsid w:val="00322900"/>
    <w:rsid w:val="00322C9F"/>
    <w:rsid w:val="00323D2F"/>
    <w:rsid w:val="00323DF6"/>
    <w:rsid w:val="00323F80"/>
    <w:rsid w:val="00324456"/>
    <w:rsid w:val="00324D23"/>
    <w:rsid w:val="0032505B"/>
    <w:rsid w:val="003250A8"/>
    <w:rsid w:val="00327884"/>
    <w:rsid w:val="0033074D"/>
    <w:rsid w:val="00331751"/>
    <w:rsid w:val="00331D5D"/>
    <w:rsid w:val="00332EAB"/>
    <w:rsid w:val="0033324A"/>
    <w:rsid w:val="003336DC"/>
    <w:rsid w:val="00333A1F"/>
    <w:rsid w:val="00333E51"/>
    <w:rsid w:val="00334579"/>
    <w:rsid w:val="00335858"/>
    <w:rsid w:val="0033640D"/>
    <w:rsid w:val="003364D1"/>
    <w:rsid w:val="00336BDA"/>
    <w:rsid w:val="003409B2"/>
    <w:rsid w:val="00342BD7"/>
    <w:rsid w:val="00343A07"/>
    <w:rsid w:val="00345015"/>
    <w:rsid w:val="00345333"/>
    <w:rsid w:val="00345B74"/>
    <w:rsid w:val="00346DB5"/>
    <w:rsid w:val="003476F9"/>
    <w:rsid w:val="003477B1"/>
    <w:rsid w:val="00347AAD"/>
    <w:rsid w:val="00350AA0"/>
    <w:rsid w:val="003521FD"/>
    <w:rsid w:val="003526D5"/>
    <w:rsid w:val="00352ADF"/>
    <w:rsid w:val="00352B16"/>
    <w:rsid w:val="0035443A"/>
    <w:rsid w:val="0035482C"/>
    <w:rsid w:val="00354CAA"/>
    <w:rsid w:val="00355AD4"/>
    <w:rsid w:val="00355EA2"/>
    <w:rsid w:val="003561FD"/>
    <w:rsid w:val="0035656F"/>
    <w:rsid w:val="00357380"/>
    <w:rsid w:val="00357DC7"/>
    <w:rsid w:val="003602D9"/>
    <w:rsid w:val="003604CE"/>
    <w:rsid w:val="00360708"/>
    <w:rsid w:val="00360747"/>
    <w:rsid w:val="00360C04"/>
    <w:rsid w:val="00361A70"/>
    <w:rsid w:val="00362AD9"/>
    <w:rsid w:val="00363444"/>
    <w:rsid w:val="00363581"/>
    <w:rsid w:val="00364BC3"/>
    <w:rsid w:val="0036539F"/>
    <w:rsid w:val="00365546"/>
    <w:rsid w:val="003662BC"/>
    <w:rsid w:val="00366657"/>
    <w:rsid w:val="0036691E"/>
    <w:rsid w:val="003675AE"/>
    <w:rsid w:val="00367C7A"/>
    <w:rsid w:val="00370300"/>
    <w:rsid w:val="00370E47"/>
    <w:rsid w:val="0037104F"/>
    <w:rsid w:val="0037175B"/>
    <w:rsid w:val="00372B5A"/>
    <w:rsid w:val="003739D8"/>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90826"/>
    <w:rsid w:val="00391112"/>
    <w:rsid w:val="003928D6"/>
    <w:rsid w:val="003939FF"/>
    <w:rsid w:val="00393D55"/>
    <w:rsid w:val="00394896"/>
    <w:rsid w:val="00394C2D"/>
    <w:rsid w:val="00394F08"/>
    <w:rsid w:val="00395287"/>
    <w:rsid w:val="003958F1"/>
    <w:rsid w:val="00395AF3"/>
    <w:rsid w:val="00395B6A"/>
    <w:rsid w:val="00395D80"/>
    <w:rsid w:val="00396763"/>
    <w:rsid w:val="00396B88"/>
    <w:rsid w:val="003A03F4"/>
    <w:rsid w:val="003A06BC"/>
    <w:rsid w:val="003A13D1"/>
    <w:rsid w:val="003A16DC"/>
    <w:rsid w:val="003A2223"/>
    <w:rsid w:val="003A22BC"/>
    <w:rsid w:val="003A2A0F"/>
    <w:rsid w:val="003A45A1"/>
    <w:rsid w:val="003A53A4"/>
    <w:rsid w:val="003A5B0A"/>
    <w:rsid w:val="003A5E23"/>
    <w:rsid w:val="003A6111"/>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54F"/>
    <w:rsid w:val="003C46B0"/>
    <w:rsid w:val="003C6EBE"/>
    <w:rsid w:val="003C7806"/>
    <w:rsid w:val="003C78D2"/>
    <w:rsid w:val="003C7AB5"/>
    <w:rsid w:val="003D0761"/>
    <w:rsid w:val="003D0A76"/>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764"/>
    <w:rsid w:val="003D798E"/>
    <w:rsid w:val="003E0119"/>
    <w:rsid w:val="003E05C9"/>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B63"/>
    <w:rsid w:val="003F3EFD"/>
    <w:rsid w:val="003F4D56"/>
    <w:rsid w:val="003F4FB7"/>
    <w:rsid w:val="003F6BBE"/>
    <w:rsid w:val="003F723F"/>
    <w:rsid w:val="003F7761"/>
    <w:rsid w:val="003F7AC9"/>
    <w:rsid w:val="003F7FC6"/>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1999"/>
    <w:rsid w:val="0041263E"/>
    <w:rsid w:val="004130C5"/>
    <w:rsid w:val="0041319B"/>
    <w:rsid w:val="004132C8"/>
    <w:rsid w:val="0041352C"/>
    <w:rsid w:val="00413AAC"/>
    <w:rsid w:val="004154C5"/>
    <w:rsid w:val="00415B7E"/>
    <w:rsid w:val="004164B3"/>
    <w:rsid w:val="004176EB"/>
    <w:rsid w:val="00421105"/>
    <w:rsid w:val="004211AC"/>
    <w:rsid w:val="00421784"/>
    <w:rsid w:val="0042195B"/>
    <w:rsid w:val="00422189"/>
    <w:rsid w:val="00422190"/>
    <w:rsid w:val="00423521"/>
    <w:rsid w:val="00423687"/>
    <w:rsid w:val="004238C9"/>
    <w:rsid w:val="004241FD"/>
    <w:rsid w:val="004242F4"/>
    <w:rsid w:val="00424F3F"/>
    <w:rsid w:val="00425889"/>
    <w:rsid w:val="00427248"/>
    <w:rsid w:val="00427B7B"/>
    <w:rsid w:val="00430217"/>
    <w:rsid w:val="004319E2"/>
    <w:rsid w:val="004320D2"/>
    <w:rsid w:val="00432C84"/>
    <w:rsid w:val="004337E0"/>
    <w:rsid w:val="00433868"/>
    <w:rsid w:val="004340AB"/>
    <w:rsid w:val="004359A0"/>
    <w:rsid w:val="00436C4F"/>
    <w:rsid w:val="00436FD8"/>
    <w:rsid w:val="00437447"/>
    <w:rsid w:val="004374E6"/>
    <w:rsid w:val="00437610"/>
    <w:rsid w:val="00437F19"/>
    <w:rsid w:val="00440540"/>
    <w:rsid w:val="00440743"/>
    <w:rsid w:val="00441038"/>
    <w:rsid w:val="00441539"/>
    <w:rsid w:val="00441A92"/>
    <w:rsid w:val="00441BE2"/>
    <w:rsid w:val="00442425"/>
    <w:rsid w:val="004426DE"/>
    <w:rsid w:val="00444074"/>
    <w:rsid w:val="00444F56"/>
    <w:rsid w:val="00445838"/>
    <w:rsid w:val="00445839"/>
    <w:rsid w:val="00446488"/>
    <w:rsid w:val="004474C1"/>
    <w:rsid w:val="004477D5"/>
    <w:rsid w:val="00447EDF"/>
    <w:rsid w:val="00447F57"/>
    <w:rsid w:val="004517AA"/>
    <w:rsid w:val="00451DB9"/>
    <w:rsid w:val="0045219A"/>
    <w:rsid w:val="00452CAC"/>
    <w:rsid w:val="00453003"/>
    <w:rsid w:val="00453849"/>
    <w:rsid w:val="00455E45"/>
    <w:rsid w:val="00456C36"/>
    <w:rsid w:val="00457481"/>
    <w:rsid w:val="00457565"/>
    <w:rsid w:val="00457976"/>
    <w:rsid w:val="00457AD4"/>
    <w:rsid w:val="00457B71"/>
    <w:rsid w:val="004609A3"/>
    <w:rsid w:val="004617F6"/>
    <w:rsid w:val="00461B0C"/>
    <w:rsid w:val="00462755"/>
    <w:rsid w:val="004627AF"/>
    <w:rsid w:val="00463BEB"/>
    <w:rsid w:val="00463CA6"/>
    <w:rsid w:val="004644EB"/>
    <w:rsid w:val="004649C8"/>
    <w:rsid w:val="00464B16"/>
    <w:rsid w:val="0046542D"/>
    <w:rsid w:val="0046562A"/>
    <w:rsid w:val="004658CF"/>
    <w:rsid w:val="00465AC7"/>
    <w:rsid w:val="00465F3A"/>
    <w:rsid w:val="004669E2"/>
    <w:rsid w:val="00466A77"/>
    <w:rsid w:val="00466F15"/>
    <w:rsid w:val="00466F25"/>
    <w:rsid w:val="00467DBC"/>
    <w:rsid w:val="00467E2F"/>
    <w:rsid w:val="004704DF"/>
    <w:rsid w:val="004709E6"/>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347"/>
    <w:rsid w:val="00484B12"/>
    <w:rsid w:val="0048552A"/>
    <w:rsid w:val="0048568A"/>
    <w:rsid w:val="00485C41"/>
    <w:rsid w:val="00485DBF"/>
    <w:rsid w:val="00486318"/>
    <w:rsid w:val="00487C69"/>
    <w:rsid w:val="0049026C"/>
    <w:rsid w:val="0049200A"/>
    <w:rsid w:val="00492747"/>
    <w:rsid w:val="00492BC5"/>
    <w:rsid w:val="00492D58"/>
    <w:rsid w:val="004932E3"/>
    <w:rsid w:val="00493819"/>
    <w:rsid w:val="004957C8"/>
    <w:rsid w:val="00495A77"/>
    <w:rsid w:val="004961A9"/>
    <w:rsid w:val="004964F1"/>
    <w:rsid w:val="00496B9A"/>
    <w:rsid w:val="004A0E54"/>
    <w:rsid w:val="004A1612"/>
    <w:rsid w:val="004A16BC"/>
    <w:rsid w:val="004A1C96"/>
    <w:rsid w:val="004A1E83"/>
    <w:rsid w:val="004A2B94"/>
    <w:rsid w:val="004A4186"/>
    <w:rsid w:val="004A41CD"/>
    <w:rsid w:val="004A5941"/>
    <w:rsid w:val="004A61A7"/>
    <w:rsid w:val="004A7CEF"/>
    <w:rsid w:val="004B1999"/>
    <w:rsid w:val="004B1AAD"/>
    <w:rsid w:val="004B1EB4"/>
    <w:rsid w:val="004B29D1"/>
    <w:rsid w:val="004B3F6B"/>
    <w:rsid w:val="004B50E1"/>
    <w:rsid w:val="004B556D"/>
    <w:rsid w:val="004B58D3"/>
    <w:rsid w:val="004B69CC"/>
    <w:rsid w:val="004B6DEA"/>
    <w:rsid w:val="004B6F96"/>
    <w:rsid w:val="004B7C0C"/>
    <w:rsid w:val="004B7F0A"/>
    <w:rsid w:val="004C14C3"/>
    <w:rsid w:val="004C16B1"/>
    <w:rsid w:val="004C2515"/>
    <w:rsid w:val="004C29DC"/>
    <w:rsid w:val="004C3898"/>
    <w:rsid w:val="004C389B"/>
    <w:rsid w:val="004C4E39"/>
    <w:rsid w:val="004C504D"/>
    <w:rsid w:val="004C52E1"/>
    <w:rsid w:val="004C54A4"/>
    <w:rsid w:val="004C6074"/>
    <w:rsid w:val="004C6DFE"/>
    <w:rsid w:val="004C6FCD"/>
    <w:rsid w:val="004D0001"/>
    <w:rsid w:val="004D111E"/>
    <w:rsid w:val="004D172C"/>
    <w:rsid w:val="004D1A8C"/>
    <w:rsid w:val="004D36B1"/>
    <w:rsid w:val="004D3A12"/>
    <w:rsid w:val="004D483A"/>
    <w:rsid w:val="004D5745"/>
    <w:rsid w:val="004D672E"/>
    <w:rsid w:val="004D73CB"/>
    <w:rsid w:val="004D796E"/>
    <w:rsid w:val="004D7C3F"/>
    <w:rsid w:val="004D7EBD"/>
    <w:rsid w:val="004E1402"/>
    <w:rsid w:val="004E16B5"/>
    <w:rsid w:val="004E188C"/>
    <w:rsid w:val="004E2680"/>
    <w:rsid w:val="004E28F9"/>
    <w:rsid w:val="004E2A75"/>
    <w:rsid w:val="004E2DB7"/>
    <w:rsid w:val="004E3357"/>
    <w:rsid w:val="004E462E"/>
    <w:rsid w:val="004E56DC"/>
    <w:rsid w:val="004E76F4"/>
    <w:rsid w:val="004F0B4E"/>
    <w:rsid w:val="004F0B6C"/>
    <w:rsid w:val="004F1557"/>
    <w:rsid w:val="004F2078"/>
    <w:rsid w:val="004F2965"/>
    <w:rsid w:val="004F29B4"/>
    <w:rsid w:val="004F3946"/>
    <w:rsid w:val="004F44BE"/>
    <w:rsid w:val="004F4756"/>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308B"/>
    <w:rsid w:val="00504C99"/>
    <w:rsid w:val="00504DEB"/>
    <w:rsid w:val="00505C27"/>
    <w:rsid w:val="00506557"/>
    <w:rsid w:val="0050677A"/>
    <w:rsid w:val="00506858"/>
    <w:rsid w:val="0050696F"/>
    <w:rsid w:val="005072CE"/>
    <w:rsid w:val="005108D8"/>
    <w:rsid w:val="005116F9"/>
    <w:rsid w:val="00511E7A"/>
    <w:rsid w:val="00512669"/>
    <w:rsid w:val="00512838"/>
    <w:rsid w:val="00513D72"/>
    <w:rsid w:val="00514E66"/>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208C"/>
    <w:rsid w:val="00542653"/>
    <w:rsid w:val="00543234"/>
    <w:rsid w:val="0054368D"/>
    <w:rsid w:val="00543984"/>
    <w:rsid w:val="00544021"/>
    <w:rsid w:val="0054410E"/>
    <w:rsid w:val="0054462F"/>
    <w:rsid w:val="00544BAC"/>
    <w:rsid w:val="00546970"/>
    <w:rsid w:val="00547B5B"/>
    <w:rsid w:val="00550C90"/>
    <w:rsid w:val="00551381"/>
    <w:rsid w:val="005515EB"/>
    <w:rsid w:val="00551A0E"/>
    <w:rsid w:val="00552418"/>
    <w:rsid w:val="005526A7"/>
    <w:rsid w:val="005529AB"/>
    <w:rsid w:val="00552B00"/>
    <w:rsid w:val="00553C13"/>
    <w:rsid w:val="00553CBE"/>
    <w:rsid w:val="00554E19"/>
    <w:rsid w:val="00554E79"/>
    <w:rsid w:val="00555E3A"/>
    <w:rsid w:val="00556302"/>
    <w:rsid w:val="005565C7"/>
    <w:rsid w:val="005607E1"/>
    <w:rsid w:val="00560E4D"/>
    <w:rsid w:val="0056121F"/>
    <w:rsid w:val="00561349"/>
    <w:rsid w:val="0056138C"/>
    <w:rsid w:val="005613C4"/>
    <w:rsid w:val="005614AF"/>
    <w:rsid w:val="00563C8D"/>
    <w:rsid w:val="005643A9"/>
    <w:rsid w:val="00564DD7"/>
    <w:rsid w:val="00565D18"/>
    <w:rsid w:val="0056617B"/>
    <w:rsid w:val="005663D5"/>
    <w:rsid w:val="00567CCF"/>
    <w:rsid w:val="005702FB"/>
    <w:rsid w:val="00570BF3"/>
    <w:rsid w:val="00570C2A"/>
    <w:rsid w:val="00571171"/>
    <w:rsid w:val="005711B9"/>
    <w:rsid w:val="00571BFF"/>
    <w:rsid w:val="00571C37"/>
    <w:rsid w:val="00572505"/>
    <w:rsid w:val="00572B0E"/>
    <w:rsid w:val="005730C2"/>
    <w:rsid w:val="0057421A"/>
    <w:rsid w:val="00574D55"/>
    <w:rsid w:val="0057517B"/>
    <w:rsid w:val="00575E8E"/>
    <w:rsid w:val="00576295"/>
    <w:rsid w:val="005779D2"/>
    <w:rsid w:val="00580202"/>
    <w:rsid w:val="00582809"/>
    <w:rsid w:val="00583214"/>
    <w:rsid w:val="0058350E"/>
    <w:rsid w:val="00583A7A"/>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A1F"/>
    <w:rsid w:val="005A2C4D"/>
    <w:rsid w:val="005A42A3"/>
    <w:rsid w:val="005A4B5A"/>
    <w:rsid w:val="005A54BB"/>
    <w:rsid w:val="005A662D"/>
    <w:rsid w:val="005A6C45"/>
    <w:rsid w:val="005A6E65"/>
    <w:rsid w:val="005A7219"/>
    <w:rsid w:val="005A745C"/>
    <w:rsid w:val="005A78CA"/>
    <w:rsid w:val="005B0103"/>
    <w:rsid w:val="005B045C"/>
    <w:rsid w:val="005B07EE"/>
    <w:rsid w:val="005B0E95"/>
    <w:rsid w:val="005B25F7"/>
    <w:rsid w:val="005B28BD"/>
    <w:rsid w:val="005B35D7"/>
    <w:rsid w:val="005B391E"/>
    <w:rsid w:val="005B392A"/>
    <w:rsid w:val="005B3AA3"/>
    <w:rsid w:val="005B3F83"/>
    <w:rsid w:val="005B4A44"/>
    <w:rsid w:val="005B4EC1"/>
    <w:rsid w:val="005B555E"/>
    <w:rsid w:val="005B6089"/>
    <w:rsid w:val="005B6F83"/>
    <w:rsid w:val="005B7549"/>
    <w:rsid w:val="005C083C"/>
    <w:rsid w:val="005C0D8C"/>
    <w:rsid w:val="005C24C1"/>
    <w:rsid w:val="005C377E"/>
    <w:rsid w:val="005C480E"/>
    <w:rsid w:val="005C5143"/>
    <w:rsid w:val="005C5A4F"/>
    <w:rsid w:val="005C6023"/>
    <w:rsid w:val="005C6BCE"/>
    <w:rsid w:val="005C7029"/>
    <w:rsid w:val="005C74FB"/>
    <w:rsid w:val="005C7752"/>
    <w:rsid w:val="005C78F9"/>
    <w:rsid w:val="005C78FE"/>
    <w:rsid w:val="005C7F26"/>
    <w:rsid w:val="005D085F"/>
    <w:rsid w:val="005D0FA1"/>
    <w:rsid w:val="005D1602"/>
    <w:rsid w:val="005D1F90"/>
    <w:rsid w:val="005D259C"/>
    <w:rsid w:val="005D2953"/>
    <w:rsid w:val="005D309C"/>
    <w:rsid w:val="005D4FEE"/>
    <w:rsid w:val="005D6F4A"/>
    <w:rsid w:val="005D7306"/>
    <w:rsid w:val="005E339D"/>
    <w:rsid w:val="005E385F"/>
    <w:rsid w:val="005E405F"/>
    <w:rsid w:val="005E4801"/>
    <w:rsid w:val="005E4ECB"/>
    <w:rsid w:val="005E5072"/>
    <w:rsid w:val="005E5B81"/>
    <w:rsid w:val="005E5C3C"/>
    <w:rsid w:val="005E62A9"/>
    <w:rsid w:val="005E6AA1"/>
    <w:rsid w:val="005E6B41"/>
    <w:rsid w:val="005E74BE"/>
    <w:rsid w:val="005E79D7"/>
    <w:rsid w:val="005F0BC7"/>
    <w:rsid w:val="005F1579"/>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D8C"/>
    <w:rsid w:val="00600868"/>
    <w:rsid w:val="00600EF0"/>
    <w:rsid w:val="00601183"/>
    <w:rsid w:val="00601906"/>
    <w:rsid w:val="0060283C"/>
    <w:rsid w:val="00603BE4"/>
    <w:rsid w:val="006048D0"/>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3257"/>
    <w:rsid w:val="00614826"/>
    <w:rsid w:val="00615223"/>
    <w:rsid w:val="0061798A"/>
    <w:rsid w:val="006203AD"/>
    <w:rsid w:val="00620976"/>
    <w:rsid w:val="00620A71"/>
    <w:rsid w:val="00620D80"/>
    <w:rsid w:val="00620DD6"/>
    <w:rsid w:val="006211C2"/>
    <w:rsid w:val="006222DA"/>
    <w:rsid w:val="00622CDF"/>
    <w:rsid w:val="006234A6"/>
    <w:rsid w:val="00623C67"/>
    <w:rsid w:val="0062414E"/>
    <w:rsid w:val="00624D23"/>
    <w:rsid w:val="006250F2"/>
    <w:rsid w:val="006251C7"/>
    <w:rsid w:val="0062725E"/>
    <w:rsid w:val="00627ADC"/>
    <w:rsid w:val="00630001"/>
    <w:rsid w:val="006311B3"/>
    <w:rsid w:val="00631C6B"/>
    <w:rsid w:val="00632022"/>
    <w:rsid w:val="00632415"/>
    <w:rsid w:val="0063284C"/>
    <w:rsid w:val="0063309B"/>
    <w:rsid w:val="006345DA"/>
    <w:rsid w:val="006347E6"/>
    <w:rsid w:val="00636087"/>
    <w:rsid w:val="00636398"/>
    <w:rsid w:val="006364F1"/>
    <w:rsid w:val="006368D3"/>
    <w:rsid w:val="0063762D"/>
    <w:rsid w:val="006377EC"/>
    <w:rsid w:val="00640405"/>
    <w:rsid w:val="00640A08"/>
    <w:rsid w:val="00640D8D"/>
    <w:rsid w:val="00640EC4"/>
    <w:rsid w:val="00640EFB"/>
    <w:rsid w:val="0064151F"/>
    <w:rsid w:val="00641533"/>
    <w:rsid w:val="0064208D"/>
    <w:rsid w:val="0064307A"/>
    <w:rsid w:val="00643449"/>
    <w:rsid w:val="00643475"/>
    <w:rsid w:val="0064396A"/>
    <w:rsid w:val="00645E14"/>
    <w:rsid w:val="00645FB8"/>
    <w:rsid w:val="0064624E"/>
    <w:rsid w:val="00646EB7"/>
    <w:rsid w:val="00647165"/>
    <w:rsid w:val="0064788F"/>
    <w:rsid w:val="00647FC4"/>
    <w:rsid w:val="00650339"/>
    <w:rsid w:val="00650AB9"/>
    <w:rsid w:val="00651C75"/>
    <w:rsid w:val="00652EE5"/>
    <w:rsid w:val="006532C0"/>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55EE"/>
    <w:rsid w:val="00665DAE"/>
    <w:rsid w:val="00665E39"/>
    <w:rsid w:val="00665F6A"/>
    <w:rsid w:val="006667FC"/>
    <w:rsid w:val="00666C80"/>
    <w:rsid w:val="00667821"/>
    <w:rsid w:val="00667EE7"/>
    <w:rsid w:val="00670922"/>
    <w:rsid w:val="00670BE1"/>
    <w:rsid w:val="00670E5F"/>
    <w:rsid w:val="00671A0E"/>
    <w:rsid w:val="0067218F"/>
    <w:rsid w:val="006723DA"/>
    <w:rsid w:val="006741F2"/>
    <w:rsid w:val="00674CC3"/>
    <w:rsid w:val="00675C72"/>
    <w:rsid w:val="00676079"/>
    <w:rsid w:val="006762BF"/>
    <w:rsid w:val="00676ECC"/>
    <w:rsid w:val="006771F9"/>
    <w:rsid w:val="00677403"/>
    <w:rsid w:val="006776D7"/>
    <w:rsid w:val="00681003"/>
    <w:rsid w:val="006817C9"/>
    <w:rsid w:val="00681B07"/>
    <w:rsid w:val="00681B9E"/>
    <w:rsid w:val="00683ECE"/>
    <w:rsid w:val="0068429A"/>
    <w:rsid w:val="006848CD"/>
    <w:rsid w:val="00684B60"/>
    <w:rsid w:val="00684CDB"/>
    <w:rsid w:val="006858A0"/>
    <w:rsid w:val="00686808"/>
    <w:rsid w:val="00686D9A"/>
    <w:rsid w:val="0069110B"/>
    <w:rsid w:val="0069334D"/>
    <w:rsid w:val="006949B8"/>
    <w:rsid w:val="00694F13"/>
    <w:rsid w:val="00695164"/>
    <w:rsid w:val="006956BD"/>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97B"/>
    <w:rsid w:val="006A6A1F"/>
    <w:rsid w:val="006A6BCC"/>
    <w:rsid w:val="006A7AFF"/>
    <w:rsid w:val="006A7B05"/>
    <w:rsid w:val="006B16E9"/>
    <w:rsid w:val="006B1816"/>
    <w:rsid w:val="006B1E72"/>
    <w:rsid w:val="006B2099"/>
    <w:rsid w:val="006B2866"/>
    <w:rsid w:val="006B28C6"/>
    <w:rsid w:val="006B3079"/>
    <w:rsid w:val="006B50CF"/>
    <w:rsid w:val="006B694F"/>
    <w:rsid w:val="006B7DE8"/>
    <w:rsid w:val="006C03B8"/>
    <w:rsid w:val="006C14C0"/>
    <w:rsid w:val="006C4610"/>
    <w:rsid w:val="006C528A"/>
    <w:rsid w:val="006C5AA4"/>
    <w:rsid w:val="006C5D55"/>
    <w:rsid w:val="006C5EC9"/>
    <w:rsid w:val="006C6059"/>
    <w:rsid w:val="006C6927"/>
    <w:rsid w:val="006C7522"/>
    <w:rsid w:val="006D0D96"/>
    <w:rsid w:val="006D0E36"/>
    <w:rsid w:val="006D1694"/>
    <w:rsid w:val="006D1F71"/>
    <w:rsid w:val="006D3FD5"/>
    <w:rsid w:val="006D4277"/>
    <w:rsid w:val="006D6EEC"/>
    <w:rsid w:val="006D6F08"/>
    <w:rsid w:val="006D73ED"/>
    <w:rsid w:val="006D79B3"/>
    <w:rsid w:val="006E062C"/>
    <w:rsid w:val="006E0CC5"/>
    <w:rsid w:val="006E0DE6"/>
    <w:rsid w:val="006E28B7"/>
    <w:rsid w:val="006E3079"/>
    <w:rsid w:val="006E3302"/>
    <w:rsid w:val="006E3310"/>
    <w:rsid w:val="006E4392"/>
    <w:rsid w:val="006E4E39"/>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08A"/>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8D3"/>
    <w:rsid w:val="00715B9A"/>
    <w:rsid w:val="00716CBB"/>
    <w:rsid w:val="00717F87"/>
    <w:rsid w:val="00720160"/>
    <w:rsid w:val="00721593"/>
    <w:rsid w:val="00721626"/>
    <w:rsid w:val="00722660"/>
    <w:rsid w:val="00722A5B"/>
    <w:rsid w:val="00722CDD"/>
    <w:rsid w:val="00723F81"/>
    <w:rsid w:val="00724024"/>
    <w:rsid w:val="00724463"/>
    <w:rsid w:val="00726EA6"/>
    <w:rsid w:val="00727208"/>
    <w:rsid w:val="00727680"/>
    <w:rsid w:val="00727ABB"/>
    <w:rsid w:val="00727E17"/>
    <w:rsid w:val="00727F23"/>
    <w:rsid w:val="0073020A"/>
    <w:rsid w:val="0073085A"/>
    <w:rsid w:val="00730AB1"/>
    <w:rsid w:val="007322A9"/>
    <w:rsid w:val="007327BA"/>
    <w:rsid w:val="007348B1"/>
    <w:rsid w:val="00734B23"/>
    <w:rsid w:val="007354A6"/>
    <w:rsid w:val="007359AC"/>
    <w:rsid w:val="00735B71"/>
    <w:rsid w:val="007360AA"/>
    <w:rsid w:val="007362A6"/>
    <w:rsid w:val="00736D7D"/>
    <w:rsid w:val="0073733D"/>
    <w:rsid w:val="00737BD3"/>
    <w:rsid w:val="00737F85"/>
    <w:rsid w:val="007408F0"/>
    <w:rsid w:val="00740E58"/>
    <w:rsid w:val="00741966"/>
    <w:rsid w:val="00741EB9"/>
    <w:rsid w:val="00742B4F"/>
    <w:rsid w:val="0074386C"/>
    <w:rsid w:val="0074405B"/>
    <w:rsid w:val="007445A0"/>
    <w:rsid w:val="00744A3A"/>
    <w:rsid w:val="0074524B"/>
    <w:rsid w:val="007457F6"/>
    <w:rsid w:val="007458F5"/>
    <w:rsid w:val="00747ADC"/>
    <w:rsid w:val="00747C5C"/>
    <w:rsid w:val="00747D8B"/>
    <w:rsid w:val="0075008C"/>
    <w:rsid w:val="007506AF"/>
    <w:rsid w:val="00751228"/>
    <w:rsid w:val="0075193B"/>
    <w:rsid w:val="007522EA"/>
    <w:rsid w:val="007524C6"/>
    <w:rsid w:val="007531DB"/>
    <w:rsid w:val="0075380A"/>
    <w:rsid w:val="00753EFB"/>
    <w:rsid w:val="007541A7"/>
    <w:rsid w:val="0075420F"/>
    <w:rsid w:val="00754B5C"/>
    <w:rsid w:val="00755305"/>
    <w:rsid w:val="00755408"/>
    <w:rsid w:val="00755BC4"/>
    <w:rsid w:val="007571E1"/>
    <w:rsid w:val="007578C3"/>
    <w:rsid w:val="00757DBF"/>
    <w:rsid w:val="007604B2"/>
    <w:rsid w:val="00760BCF"/>
    <w:rsid w:val="00760FCB"/>
    <w:rsid w:val="00761C14"/>
    <w:rsid w:val="00762737"/>
    <w:rsid w:val="00762FB8"/>
    <w:rsid w:val="00763069"/>
    <w:rsid w:val="00763AD2"/>
    <w:rsid w:val="00763BC8"/>
    <w:rsid w:val="00764038"/>
    <w:rsid w:val="00764D57"/>
    <w:rsid w:val="007650E0"/>
    <w:rsid w:val="00765281"/>
    <w:rsid w:val="007656C0"/>
    <w:rsid w:val="00765899"/>
    <w:rsid w:val="00766BAD"/>
    <w:rsid w:val="00766E11"/>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9029C"/>
    <w:rsid w:val="00790E12"/>
    <w:rsid w:val="00790F2A"/>
    <w:rsid w:val="007912CF"/>
    <w:rsid w:val="00791DCB"/>
    <w:rsid w:val="007925EA"/>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306F"/>
    <w:rsid w:val="007A43A6"/>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C0C"/>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929"/>
    <w:rsid w:val="007C7CBF"/>
    <w:rsid w:val="007D04E5"/>
    <w:rsid w:val="007D0FCD"/>
    <w:rsid w:val="007D1626"/>
    <w:rsid w:val="007D24CB"/>
    <w:rsid w:val="007D311E"/>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BEA"/>
    <w:rsid w:val="007E2F81"/>
    <w:rsid w:val="007E3662"/>
    <w:rsid w:val="007E3A56"/>
    <w:rsid w:val="007E4610"/>
    <w:rsid w:val="007E4715"/>
    <w:rsid w:val="007E48E6"/>
    <w:rsid w:val="007E4B22"/>
    <w:rsid w:val="007E505B"/>
    <w:rsid w:val="007E58DA"/>
    <w:rsid w:val="007E5C44"/>
    <w:rsid w:val="007E6373"/>
    <w:rsid w:val="007E7047"/>
    <w:rsid w:val="007E7091"/>
    <w:rsid w:val="007F02BB"/>
    <w:rsid w:val="007F1564"/>
    <w:rsid w:val="007F2516"/>
    <w:rsid w:val="007F2617"/>
    <w:rsid w:val="007F273B"/>
    <w:rsid w:val="007F2922"/>
    <w:rsid w:val="007F3374"/>
    <w:rsid w:val="007F3B89"/>
    <w:rsid w:val="007F3C98"/>
    <w:rsid w:val="007F4DAB"/>
    <w:rsid w:val="007F71CE"/>
    <w:rsid w:val="007F75EF"/>
    <w:rsid w:val="007F77D6"/>
    <w:rsid w:val="0080078F"/>
    <w:rsid w:val="008015DF"/>
    <w:rsid w:val="008020FE"/>
    <w:rsid w:val="008029EE"/>
    <w:rsid w:val="008035AD"/>
    <w:rsid w:val="008035DA"/>
    <w:rsid w:val="008038B5"/>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5792"/>
    <w:rsid w:val="0081583D"/>
    <w:rsid w:val="008158D6"/>
    <w:rsid w:val="00816061"/>
    <w:rsid w:val="00816B4A"/>
    <w:rsid w:val="00817196"/>
    <w:rsid w:val="00817A4D"/>
    <w:rsid w:val="00817EDE"/>
    <w:rsid w:val="00820A44"/>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1B0A"/>
    <w:rsid w:val="0084221B"/>
    <w:rsid w:val="008433AF"/>
    <w:rsid w:val="008436F6"/>
    <w:rsid w:val="0084405D"/>
    <w:rsid w:val="008441EB"/>
    <w:rsid w:val="008444E8"/>
    <w:rsid w:val="008448B4"/>
    <w:rsid w:val="00844E80"/>
    <w:rsid w:val="0084537C"/>
    <w:rsid w:val="00846090"/>
    <w:rsid w:val="00846723"/>
    <w:rsid w:val="00846FE7"/>
    <w:rsid w:val="00850CEC"/>
    <w:rsid w:val="00850E36"/>
    <w:rsid w:val="00850E45"/>
    <w:rsid w:val="008519C5"/>
    <w:rsid w:val="00851C1E"/>
    <w:rsid w:val="00851D56"/>
    <w:rsid w:val="00853140"/>
    <w:rsid w:val="00853502"/>
    <w:rsid w:val="008537ED"/>
    <w:rsid w:val="00855B90"/>
    <w:rsid w:val="00855EF4"/>
    <w:rsid w:val="00856498"/>
    <w:rsid w:val="00856911"/>
    <w:rsid w:val="00856C5F"/>
    <w:rsid w:val="008579E5"/>
    <w:rsid w:val="00857FCA"/>
    <w:rsid w:val="00861095"/>
    <w:rsid w:val="00862708"/>
    <w:rsid w:val="00863017"/>
    <w:rsid w:val="008636C0"/>
    <w:rsid w:val="00863810"/>
    <w:rsid w:val="00863B58"/>
    <w:rsid w:val="00863D18"/>
    <w:rsid w:val="008655C1"/>
    <w:rsid w:val="00865647"/>
    <w:rsid w:val="0086574E"/>
    <w:rsid w:val="008658ED"/>
    <w:rsid w:val="00866EC2"/>
    <w:rsid w:val="008677FD"/>
    <w:rsid w:val="008678D2"/>
    <w:rsid w:val="00867B56"/>
    <w:rsid w:val="00867B93"/>
    <w:rsid w:val="00867C7B"/>
    <w:rsid w:val="00870077"/>
    <w:rsid w:val="008706D4"/>
    <w:rsid w:val="008706E0"/>
    <w:rsid w:val="00870F8A"/>
    <w:rsid w:val="008719A4"/>
    <w:rsid w:val="00871D23"/>
    <w:rsid w:val="008721D4"/>
    <w:rsid w:val="008722F9"/>
    <w:rsid w:val="00872782"/>
    <w:rsid w:val="00873C5D"/>
    <w:rsid w:val="00874312"/>
    <w:rsid w:val="0087437C"/>
    <w:rsid w:val="00874688"/>
    <w:rsid w:val="00875CD7"/>
    <w:rsid w:val="0087608E"/>
    <w:rsid w:val="00876B4D"/>
    <w:rsid w:val="00876D5E"/>
    <w:rsid w:val="00876EDC"/>
    <w:rsid w:val="00876F4E"/>
    <w:rsid w:val="00877F18"/>
    <w:rsid w:val="00880963"/>
    <w:rsid w:val="00880BBE"/>
    <w:rsid w:val="00881496"/>
    <w:rsid w:val="0088201A"/>
    <w:rsid w:val="008831AD"/>
    <w:rsid w:val="00883680"/>
    <w:rsid w:val="00883A4A"/>
    <w:rsid w:val="00884D89"/>
    <w:rsid w:val="008850EF"/>
    <w:rsid w:val="00885820"/>
    <w:rsid w:val="0088638F"/>
    <w:rsid w:val="00886784"/>
    <w:rsid w:val="00886A69"/>
    <w:rsid w:val="0088730D"/>
    <w:rsid w:val="008878B2"/>
    <w:rsid w:val="00891466"/>
    <w:rsid w:val="00891B88"/>
    <w:rsid w:val="008929DB"/>
    <w:rsid w:val="00894A88"/>
    <w:rsid w:val="00894C14"/>
    <w:rsid w:val="00894F43"/>
    <w:rsid w:val="00895215"/>
    <w:rsid w:val="00895386"/>
    <w:rsid w:val="008956A6"/>
    <w:rsid w:val="00896439"/>
    <w:rsid w:val="0089699F"/>
    <w:rsid w:val="00896D3D"/>
    <w:rsid w:val="008A08E1"/>
    <w:rsid w:val="008A21FF"/>
    <w:rsid w:val="008A2902"/>
    <w:rsid w:val="008A2CE2"/>
    <w:rsid w:val="008A30AC"/>
    <w:rsid w:val="008A35D4"/>
    <w:rsid w:val="008A3F81"/>
    <w:rsid w:val="008A41F4"/>
    <w:rsid w:val="008A44B8"/>
    <w:rsid w:val="008A4677"/>
    <w:rsid w:val="008A4CE1"/>
    <w:rsid w:val="008A4D0B"/>
    <w:rsid w:val="008A51A8"/>
    <w:rsid w:val="008A54C7"/>
    <w:rsid w:val="008A5722"/>
    <w:rsid w:val="008A656C"/>
    <w:rsid w:val="008A6A0F"/>
    <w:rsid w:val="008A77D8"/>
    <w:rsid w:val="008B0483"/>
    <w:rsid w:val="008B0C02"/>
    <w:rsid w:val="008B120C"/>
    <w:rsid w:val="008B18C9"/>
    <w:rsid w:val="008B1DBA"/>
    <w:rsid w:val="008B2BCE"/>
    <w:rsid w:val="008B350A"/>
    <w:rsid w:val="008B51A0"/>
    <w:rsid w:val="008B54F7"/>
    <w:rsid w:val="008B592A"/>
    <w:rsid w:val="008B5D99"/>
    <w:rsid w:val="008B675A"/>
    <w:rsid w:val="008B69D2"/>
    <w:rsid w:val="008B7B5C"/>
    <w:rsid w:val="008B7BDF"/>
    <w:rsid w:val="008B7CC2"/>
    <w:rsid w:val="008C0281"/>
    <w:rsid w:val="008C0C99"/>
    <w:rsid w:val="008C131D"/>
    <w:rsid w:val="008C2017"/>
    <w:rsid w:val="008C2398"/>
    <w:rsid w:val="008C24E5"/>
    <w:rsid w:val="008C27E5"/>
    <w:rsid w:val="008C2AAD"/>
    <w:rsid w:val="008C302D"/>
    <w:rsid w:val="008C3B4B"/>
    <w:rsid w:val="008C432E"/>
    <w:rsid w:val="008C4958"/>
    <w:rsid w:val="008C4BAA"/>
    <w:rsid w:val="008C6AE8"/>
    <w:rsid w:val="008C741D"/>
    <w:rsid w:val="008C7521"/>
    <w:rsid w:val="008C7573"/>
    <w:rsid w:val="008C7783"/>
    <w:rsid w:val="008D02F5"/>
    <w:rsid w:val="008D0DB1"/>
    <w:rsid w:val="008D0DDA"/>
    <w:rsid w:val="008D0DED"/>
    <w:rsid w:val="008D1321"/>
    <w:rsid w:val="008D2EB2"/>
    <w:rsid w:val="008D34F1"/>
    <w:rsid w:val="008D39D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3EAC"/>
    <w:rsid w:val="008F40F2"/>
    <w:rsid w:val="008F477F"/>
    <w:rsid w:val="008F4EBB"/>
    <w:rsid w:val="008F5E2E"/>
    <w:rsid w:val="008F600C"/>
    <w:rsid w:val="008F6520"/>
    <w:rsid w:val="008F6AB2"/>
    <w:rsid w:val="008F734E"/>
    <w:rsid w:val="008F7845"/>
    <w:rsid w:val="009008F4"/>
    <w:rsid w:val="00900E50"/>
    <w:rsid w:val="00901A60"/>
    <w:rsid w:val="00902350"/>
    <w:rsid w:val="009029B6"/>
    <w:rsid w:val="00902E42"/>
    <w:rsid w:val="0090336B"/>
    <w:rsid w:val="009038A0"/>
    <w:rsid w:val="00904D21"/>
    <w:rsid w:val="009053AA"/>
    <w:rsid w:val="00905736"/>
    <w:rsid w:val="00905E82"/>
    <w:rsid w:val="00906102"/>
    <w:rsid w:val="009061DE"/>
    <w:rsid w:val="009063D5"/>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3A4E"/>
    <w:rsid w:val="00923D67"/>
    <w:rsid w:val="00924DAC"/>
    <w:rsid w:val="009265E0"/>
    <w:rsid w:val="00926913"/>
    <w:rsid w:val="00926FEF"/>
    <w:rsid w:val="00927E6D"/>
    <w:rsid w:val="00930200"/>
    <w:rsid w:val="00931755"/>
    <w:rsid w:val="00931BD9"/>
    <w:rsid w:val="0093274D"/>
    <w:rsid w:val="00933C91"/>
    <w:rsid w:val="00933D08"/>
    <w:rsid w:val="00933E23"/>
    <w:rsid w:val="0093580B"/>
    <w:rsid w:val="00935A04"/>
    <w:rsid w:val="00935DB8"/>
    <w:rsid w:val="0093607B"/>
    <w:rsid w:val="009368F3"/>
    <w:rsid w:val="00936A53"/>
    <w:rsid w:val="00936C07"/>
    <w:rsid w:val="00936DED"/>
    <w:rsid w:val="009373EA"/>
    <w:rsid w:val="009403F9"/>
    <w:rsid w:val="00940480"/>
    <w:rsid w:val="0094067B"/>
    <w:rsid w:val="009413E8"/>
    <w:rsid w:val="00941636"/>
    <w:rsid w:val="00941D35"/>
    <w:rsid w:val="00942B95"/>
    <w:rsid w:val="00943742"/>
    <w:rsid w:val="00943B2F"/>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3057"/>
    <w:rsid w:val="00975113"/>
    <w:rsid w:val="009753B1"/>
    <w:rsid w:val="0097603D"/>
    <w:rsid w:val="00976949"/>
    <w:rsid w:val="00977ACF"/>
    <w:rsid w:val="00980477"/>
    <w:rsid w:val="00980493"/>
    <w:rsid w:val="00980C74"/>
    <w:rsid w:val="00981A92"/>
    <w:rsid w:val="0098201E"/>
    <w:rsid w:val="00983176"/>
    <w:rsid w:val="00984714"/>
    <w:rsid w:val="00985253"/>
    <w:rsid w:val="009853B3"/>
    <w:rsid w:val="0098567E"/>
    <w:rsid w:val="009871CF"/>
    <w:rsid w:val="00990630"/>
    <w:rsid w:val="00990994"/>
    <w:rsid w:val="00990EB7"/>
    <w:rsid w:val="00991761"/>
    <w:rsid w:val="00991D44"/>
    <w:rsid w:val="00992B04"/>
    <w:rsid w:val="00993092"/>
    <w:rsid w:val="0099366C"/>
    <w:rsid w:val="00993A69"/>
    <w:rsid w:val="00994DCA"/>
    <w:rsid w:val="009960EC"/>
    <w:rsid w:val="009970DD"/>
    <w:rsid w:val="009A046E"/>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499E"/>
    <w:rsid w:val="009B4DF4"/>
    <w:rsid w:val="009B4E12"/>
    <w:rsid w:val="009B564E"/>
    <w:rsid w:val="009B5D3F"/>
    <w:rsid w:val="009B5F2C"/>
    <w:rsid w:val="009B64AC"/>
    <w:rsid w:val="009B7243"/>
    <w:rsid w:val="009B72A3"/>
    <w:rsid w:val="009B7885"/>
    <w:rsid w:val="009B7C77"/>
    <w:rsid w:val="009B7D00"/>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7A3"/>
    <w:rsid w:val="009E56DA"/>
    <w:rsid w:val="009E5775"/>
    <w:rsid w:val="009E6FDD"/>
    <w:rsid w:val="009E743D"/>
    <w:rsid w:val="009F08F3"/>
    <w:rsid w:val="009F1D4F"/>
    <w:rsid w:val="009F1ECE"/>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A68"/>
    <w:rsid w:val="00A02A43"/>
    <w:rsid w:val="00A02E5D"/>
    <w:rsid w:val="00A02F75"/>
    <w:rsid w:val="00A031C7"/>
    <w:rsid w:val="00A037D6"/>
    <w:rsid w:val="00A048A8"/>
    <w:rsid w:val="00A04CEE"/>
    <w:rsid w:val="00A04ED3"/>
    <w:rsid w:val="00A04F49"/>
    <w:rsid w:val="00A05F2D"/>
    <w:rsid w:val="00A064CA"/>
    <w:rsid w:val="00A06C98"/>
    <w:rsid w:val="00A07372"/>
    <w:rsid w:val="00A076A8"/>
    <w:rsid w:val="00A1049F"/>
    <w:rsid w:val="00A10DB8"/>
    <w:rsid w:val="00A129D7"/>
    <w:rsid w:val="00A13090"/>
    <w:rsid w:val="00A13263"/>
    <w:rsid w:val="00A13645"/>
    <w:rsid w:val="00A13E54"/>
    <w:rsid w:val="00A142A1"/>
    <w:rsid w:val="00A15202"/>
    <w:rsid w:val="00A1637F"/>
    <w:rsid w:val="00A17F63"/>
    <w:rsid w:val="00A20C10"/>
    <w:rsid w:val="00A2193B"/>
    <w:rsid w:val="00A21A0C"/>
    <w:rsid w:val="00A2308F"/>
    <w:rsid w:val="00A23505"/>
    <w:rsid w:val="00A2351A"/>
    <w:rsid w:val="00A235F6"/>
    <w:rsid w:val="00A2526E"/>
    <w:rsid w:val="00A2547F"/>
    <w:rsid w:val="00A25C14"/>
    <w:rsid w:val="00A264A9"/>
    <w:rsid w:val="00A26D81"/>
    <w:rsid w:val="00A2733C"/>
    <w:rsid w:val="00A27785"/>
    <w:rsid w:val="00A30187"/>
    <w:rsid w:val="00A317DE"/>
    <w:rsid w:val="00A3373F"/>
    <w:rsid w:val="00A33B8B"/>
    <w:rsid w:val="00A3448A"/>
    <w:rsid w:val="00A34E68"/>
    <w:rsid w:val="00A34EB7"/>
    <w:rsid w:val="00A3615C"/>
    <w:rsid w:val="00A36185"/>
    <w:rsid w:val="00A3627E"/>
    <w:rsid w:val="00A36297"/>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3F0"/>
    <w:rsid w:val="00A50796"/>
    <w:rsid w:val="00A51466"/>
    <w:rsid w:val="00A51568"/>
    <w:rsid w:val="00A51F90"/>
    <w:rsid w:val="00A5264C"/>
    <w:rsid w:val="00A52B50"/>
    <w:rsid w:val="00A52E1D"/>
    <w:rsid w:val="00A53AC2"/>
    <w:rsid w:val="00A53B7A"/>
    <w:rsid w:val="00A54AD4"/>
    <w:rsid w:val="00A56508"/>
    <w:rsid w:val="00A56A78"/>
    <w:rsid w:val="00A60117"/>
    <w:rsid w:val="00A61255"/>
    <w:rsid w:val="00A61359"/>
    <w:rsid w:val="00A61499"/>
    <w:rsid w:val="00A6265F"/>
    <w:rsid w:val="00A626D1"/>
    <w:rsid w:val="00A62A77"/>
    <w:rsid w:val="00A62ECE"/>
    <w:rsid w:val="00A63483"/>
    <w:rsid w:val="00A63542"/>
    <w:rsid w:val="00A6363A"/>
    <w:rsid w:val="00A640A8"/>
    <w:rsid w:val="00A6549C"/>
    <w:rsid w:val="00A655CB"/>
    <w:rsid w:val="00A657D7"/>
    <w:rsid w:val="00A65B19"/>
    <w:rsid w:val="00A65BD0"/>
    <w:rsid w:val="00A65D66"/>
    <w:rsid w:val="00A660AC"/>
    <w:rsid w:val="00A661BB"/>
    <w:rsid w:val="00A665EB"/>
    <w:rsid w:val="00A6671D"/>
    <w:rsid w:val="00A66DE5"/>
    <w:rsid w:val="00A67C37"/>
    <w:rsid w:val="00A67E6C"/>
    <w:rsid w:val="00A706FC"/>
    <w:rsid w:val="00A708C4"/>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2A1"/>
    <w:rsid w:val="00A833AA"/>
    <w:rsid w:val="00A83903"/>
    <w:rsid w:val="00A83E38"/>
    <w:rsid w:val="00A85053"/>
    <w:rsid w:val="00A85DC7"/>
    <w:rsid w:val="00A86000"/>
    <w:rsid w:val="00A8712F"/>
    <w:rsid w:val="00A90248"/>
    <w:rsid w:val="00A916C9"/>
    <w:rsid w:val="00A91C62"/>
    <w:rsid w:val="00A92879"/>
    <w:rsid w:val="00A92908"/>
    <w:rsid w:val="00A92C7A"/>
    <w:rsid w:val="00A93694"/>
    <w:rsid w:val="00A93A0D"/>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35BF"/>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570F"/>
    <w:rsid w:val="00AB655E"/>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7016"/>
    <w:rsid w:val="00AC70FB"/>
    <w:rsid w:val="00AC7DF1"/>
    <w:rsid w:val="00AC7F5F"/>
    <w:rsid w:val="00AD0182"/>
    <w:rsid w:val="00AD0201"/>
    <w:rsid w:val="00AD0AA3"/>
    <w:rsid w:val="00AD0F52"/>
    <w:rsid w:val="00AD1952"/>
    <w:rsid w:val="00AD1E34"/>
    <w:rsid w:val="00AD22F7"/>
    <w:rsid w:val="00AD2496"/>
    <w:rsid w:val="00AD2B26"/>
    <w:rsid w:val="00AD388C"/>
    <w:rsid w:val="00AD3F90"/>
    <w:rsid w:val="00AD3F94"/>
    <w:rsid w:val="00AD4667"/>
    <w:rsid w:val="00AD4A5A"/>
    <w:rsid w:val="00AD5754"/>
    <w:rsid w:val="00AD6192"/>
    <w:rsid w:val="00AD67FE"/>
    <w:rsid w:val="00AD746D"/>
    <w:rsid w:val="00AE138B"/>
    <w:rsid w:val="00AE1AEC"/>
    <w:rsid w:val="00AE27AC"/>
    <w:rsid w:val="00AE27E4"/>
    <w:rsid w:val="00AE3B98"/>
    <w:rsid w:val="00AE40E0"/>
    <w:rsid w:val="00AE4209"/>
    <w:rsid w:val="00AE4D6C"/>
    <w:rsid w:val="00AE4DBA"/>
    <w:rsid w:val="00AE4F07"/>
    <w:rsid w:val="00AE5313"/>
    <w:rsid w:val="00AE53EE"/>
    <w:rsid w:val="00AE57B1"/>
    <w:rsid w:val="00AE5EDF"/>
    <w:rsid w:val="00AE6283"/>
    <w:rsid w:val="00AE6ED0"/>
    <w:rsid w:val="00AE79A3"/>
    <w:rsid w:val="00AE7F5A"/>
    <w:rsid w:val="00AF04AD"/>
    <w:rsid w:val="00AF0BFA"/>
    <w:rsid w:val="00AF13F7"/>
    <w:rsid w:val="00AF1C5D"/>
    <w:rsid w:val="00AF2694"/>
    <w:rsid w:val="00AF3EC3"/>
    <w:rsid w:val="00AF42D7"/>
    <w:rsid w:val="00AF4961"/>
    <w:rsid w:val="00AF4CC0"/>
    <w:rsid w:val="00AF57C1"/>
    <w:rsid w:val="00AF5A87"/>
    <w:rsid w:val="00AF6377"/>
    <w:rsid w:val="00AF6C00"/>
    <w:rsid w:val="00AF6F2F"/>
    <w:rsid w:val="00B006FE"/>
    <w:rsid w:val="00B007CB"/>
    <w:rsid w:val="00B01A6F"/>
    <w:rsid w:val="00B01B96"/>
    <w:rsid w:val="00B01DC9"/>
    <w:rsid w:val="00B01F12"/>
    <w:rsid w:val="00B0223E"/>
    <w:rsid w:val="00B02AA7"/>
    <w:rsid w:val="00B02AA9"/>
    <w:rsid w:val="00B02F74"/>
    <w:rsid w:val="00B02F9A"/>
    <w:rsid w:val="00B02FA3"/>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6F9"/>
    <w:rsid w:val="00B21786"/>
    <w:rsid w:val="00B22C9D"/>
    <w:rsid w:val="00B23437"/>
    <w:rsid w:val="00B23EF8"/>
    <w:rsid w:val="00B25FA7"/>
    <w:rsid w:val="00B2763F"/>
    <w:rsid w:val="00B27AAC"/>
    <w:rsid w:val="00B30929"/>
    <w:rsid w:val="00B30B35"/>
    <w:rsid w:val="00B34C9B"/>
    <w:rsid w:val="00B3541A"/>
    <w:rsid w:val="00B36236"/>
    <w:rsid w:val="00B369AD"/>
    <w:rsid w:val="00B37066"/>
    <w:rsid w:val="00B372AA"/>
    <w:rsid w:val="00B37D91"/>
    <w:rsid w:val="00B40445"/>
    <w:rsid w:val="00B40CF2"/>
    <w:rsid w:val="00B41888"/>
    <w:rsid w:val="00B418B7"/>
    <w:rsid w:val="00B42BDB"/>
    <w:rsid w:val="00B42EBC"/>
    <w:rsid w:val="00B44AA1"/>
    <w:rsid w:val="00B453C3"/>
    <w:rsid w:val="00B45657"/>
    <w:rsid w:val="00B45A52"/>
    <w:rsid w:val="00B46023"/>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944"/>
    <w:rsid w:val="00B62AAA"/>
    <w:rsid w:val="00B62DC3"/>
    <w:rsid w:val="00B6374A"/>
    <w:rsid w:val="00B64E11"/>
    <w:rsid w:val="00B6560D"/>
    <w:rsid w:val="00B664C7"/>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E8A"/>
    <w:rsid w:val="00B800F5"/>
    <w:rsid w:val="00B80699"/>
    <w:rsid w:val="00B8086A"/>
    <w:rsid w:val="00B8117B"/>
    <w:rsid w:val="00B81A6C"/>
    <w:rsid w:val="00B81D70"/>
    <w:rsid w:val="00B82789"/>
    <w:rsid w:val="00B833FA"/>
    <w:rsid w:val="00B838E1"/>
    <w:rsid w:val="00B843AE"/>
    <w:rsid w:val="00B84F59"/>
    <w:rsid w:val="00B85444"/>
    <w:rsid w:val="00B859FB"/>
    <w:rsid w:val="00B85B84"/>
    <w:rsid w:val="00B85DE5"/>
    <w:rsid w:val="00B85FAE"/>
    <w:rsid w:val="00B90E65"/>
    <w:rsid w:val="00B90F73"/>
    <w:rsid w:val="00B92917"/>
    <w:rsid w:val="00B93100"/>
    <w:rsid w:val="00B934DA"/>
    <w:rsid w:val="00B93B59"/>
    <w:rsid w:val="00B9406A"/>
    <w:rsid w:val="00B94A2F"/>
    <w:rsid w:val="00B94D6D"/>
    <w:rsid w:val="00B95078"/>
    <w:rsid w:val="00B96258"/>
    <w:rsid w:val="00B9690A"/>
    <w:rsid w:val="00B97945"/>
    <w:rsid w:val="00B97976"/>
    <w:rsid w:val="00BA02C0"/>
    <w:rsid w:val="00BA1004"/>
    <w:rsid w:val="00BA17A5"/>
    <w:rsid w:val="00BA1B06"/>
    <w:rsid w:val="00BA2280"/>
    <w:rsid w:val="00BA2A08"/>
    <w:rsid w:val="00BA3581"/>
    <w:rsid w:val="00BA56D2"/>
    <w:rsid w:val="00BA6440"/>
    <w:rsid w:val="00BA6815"/>
    <w:rsid w:val="00BA69F5"/>
    <w:rsid w:val="00BA76E0"/>
    <w:rsid w:val="00BB0186"/>
    <w:rsid w:val="00BB0538"/>
    <w:rsid w:val="00BB212F"/>
    <w:rsid w:val="00BB229E"/>
    <w:rsid w:val="00BB2A25"/>
    <w:rsid w:val="00BB36D9"/>
    <w:rsid w:val="00BB371F"/>
    <w:rsid w:val="00BB3F23"/>
    <w:rsid w:val="00BB48D4"/>
    <w:rsid w:val="00BB4D7A"/>
    <w:rsid w:val="00BB51E9"/>
    <w:rsid w:val="00BB56BD"/>
    <w:rsid w:val="00BB6240"/>
    <w:rsid w:val="00BB6455"/>
    <w:rsid w:val="00BB7455"/>
    <w:rsid w:val="00BB78D4"/>
    <w:rsid w:val="00BC0FDC"/>
    <w:rsid w:val="00BC1477"/>
    <w:rsid w:val="00BC1809"/>
    <w:rsid w:val="00BC2238"/>
    <w:rsid w:val="00BC3053"/>
    <w:rsid w:val="00BC34D8"/>
    <w:rsid w:val="00BC3DBE"/>
    <w:rsid w:val="00BC3FFB"/>
    <w:rsid w:val="00BC4D2E"/>
    <w:rsid w:val="00BC4F38"/>
    <w:rsid w:val="00BC536F"/>
    <w:rsid w:val="00BC53B4"/>
    <w:rsid w:val="00BC5DE4"/>
    <w:rsid w:val="00BC6079"/>
    <w:rsid w:val="00BC642C"/>
    <w:rsid w:val="00BC6A51"/>
    <w:rsid w:val="00BC6E25"/>
    <w:rsid w:val="00BC7B85"/>
    <w:rsid w:val="00BD034D"/>
    <w:rsid w:val="00BD08B5"/>
    <w:rsid w:val="00BD08F6"/>
    <w:rsid w:val="00BD3273"/>
    <w:rsid w:val="00BD3C9F"/>
    <w:rsid w:val="00BD3E77"/>
    <w:rsid w:val="00BD46A8"/>
    <w:rsid w:val="00BD48AC"/>
    <w:rsid w:val="00BD5146"/>
    <w:rsid w:val="00BD5F1A"/>
    <w:rsid w:val="00BE0A6B"/>
    <w:rsid w:val="00BE1234"/>
    <w:rsid w:val="00BE20F5"/>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3778"/>
    <w:rsid w:val="00BF431E"/>
    <w:rsid w:val="00BF536D"/>
    <w:rsid w:val="00BF6704"/>
    <w:rsid w:val="00BF7049"/>
    <w:rsid w:val="00BF73CE"/>
    <w:rsid w:val="00BF7445"/>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377"/>
    <w:rsid w:val="00C103DD"/>
    <w:rsid w:val="00C10478"/>
    <w:rsid w:val="00C12107"/>
    <w:rsid w:val="00C13452"/>
    <w:rsid w:val="00C134A0"/>
    <w:rsid w:val="00C14115"/>
    <w:rsid w:val="00C148E9"/>
    <w:rsid w:val="00C14B88"/>
    <w:rsid w:val="00C14D4B"/>
    <w:rsid w:val="00C154BB"/>
    <w:rsid w:val="00C15B66"/>
    <w:rsid w:val="00C15D75"/>
    <w:rsid w:val="00C1642C"/>
    <w:rsid w:val="00C16D25"/>
    <w:rsid w:val="00C16DE5"/>
    <w:rsid w:val="00C171B1"/>
    <w:rsid w:val="00C17D3F"/>
    <w:rsid w:val="00C210BC"/>
    <w:rsid w:val="00C21C9E"/>
    <w:rsid w:val="00C237F8"/>
    <w:rsid w:val="00C23E5C"/>
    <w:rsid w:val="00C249FF"/>
    <w:rsid w:val="00C25454"/>
    <w:rsid w:val="00C26FAA"/>
    <w:rsid w:val="00C27142"/>
    <w:rsid w:val="00C276A6"/>
    <w:rsid w:val="00C279B5"/>
    <w:rsid w:val="00C27C45"/>
    <w:rsid w:val="00C32657"/>
    <w:rsid w:val="00C3287B"/>
    <w:rsid w:val="00C32BD8"/>
    <w:rsid w:val="00C33F4B"/>
    <w:rsid w:val="00C34D98"/>
    <w:rsid w:val="00C36088"/>
    <w:rsid w:val="00C3719D"/>
    <w:rsid w:val="00C37CC3"/>
    <w:rsid w:val="00C405FD"/>
    <w:rsid w:val="00C4067E"/>
    <w:rsid w:val="00C41E75"/>
    <w:rsid w:val="00C42BAB"/>
    <w:rsid w:val="00C43F74"/>
    <w:rsid w:val="00C44BB4"/>
    <w:rsid w:val="00C4515C"/>
    <w:rsid w:val="00C4667B"/>
    <w:rsid w:val="00C46A82"/>
    <w:rsid w:val="00C46CEC"/>
    <w:rsid w:val="00C4742E"/>
    <w:rsid w:val="00C51FCF"/>
    <w:rsid w:val="00C5214D"/>
    <w:rsid w:val="00C54995"/>
    <w:rsid w:val="00C54B8F"/>
    <w:rsid w:val="00C54C68"/>
    <w:rsid w:val="00C54D41"/>
    <w:rsid w:val="00C55921"/>
    <w:rsid w:val="00C559BF"/>
    <w:rsid w:val="00C55DD0"/>
    <w:rsid w:val="00C55F6F"/>
    <w:rsid w:val="00C561AF"/>
    <w:rsid w:val="00C5676C"/>
    <w:rsid w:val="00C57605"/>
    <w:rsid w:val="00C6006D"/>
    <w:rsid w:val="00C604A5"/>
    <w:rsid w:val="00C60783"/>
    <w:rsid w:val="00C610E9"/>
    <w:rsid w:val="00C612B9"/>
    <w:rsid w:val="00C6167D"/>
    <w:rsid w:val="00C63695"/>
    <w:rsid w:val="00C6418B"/>
    <w:rsid w:val="00C64672"/>
    <w:rsid w:val="00C64E8D"/>
    <w:rsid w:val="00C658AB"/>
    <w:rsid w:val="00C6657A"/>
    <w:rsid w:val="00C66CE5"/>
    <w:rsid w:val="00C671C8"/>
    <w:rsid w:val="00C70697"/>
    <w:rsid w:val="00C70F33"/>
    <w:rsid w:val="00C721A3"/>
    <w:rsid w:val="00C723C0"/>
    <w:rsid w:val="00C72954"/>
    <w:rsid w:val="00C72CA7"/>
    <w:rsid w:val="00C72DB6"/>
    <w:rsid w:val="00C72EF4"/>
    <w:rsid w:val="00C743F0"/>
    <w:rsid w:val="00C74CA0"/>
    <w:rsid w:val="00C75081"/>
    <w:rsid w:val="00C75664"/>
    <w:rsid w:val="00C75CE0"/>
    <w:rsid w:val="00C75D2F"/>
    <w:rsid w:val="00C767BE"/>
    <w:rsid w:val="00C767C3"/>
    <w:rsid w:val="00C76963"/>
    <w:rsid w:val="00C76E3C"/>
    <w:rsid w:val="00C77982"/>
    <w:rsid w:val="00C77B92"/>
    <w:rsid w:val="00C81568"/>
    <w:rsid w:val="00C82528"/>
    <w:rsid w:val="00C83487"/>
    <w:rsid w:val="00C85182"/>
    <w:rsid w:val="00C858D0"/>
    <w:rsid w:val="00C85F97"/>
    <w:rsid w:val="00C86B9F"/>
    <w:rsid w:val="00C87FF7"/>
    <w:rsid w:val="00C9026B"/>
    <w:rsid w:val="00C9027A"/>
    <w:rsid w:val="00C9062C"/>
    <w:rsid w:val="00C9068E"/>
    <w:rsid w:val="00C90A1A"/>
    <w:rsid w:val="00C9169C"/>
    <w:rsid w:val="00C91F9B"/>
    <w:rsid w:val="00C9318D"/>
    <w:rsid w:val="00C93278"/>
    <w:rsid w:val="00C9342D"/>
    <w:rsid w:val="00C93C4B"/>
    <w:rsid w:val="00C944AB"/>
    <w:rsid w:val="00C95477"/>
    <w:rsid w:val="00C95B40"/>
    <w:rsid w:val="00C96A5C"/>
    <w:rsid w:val="00C97651"/>
    <w:rsid w:val="00C97A23"/>
    <w:rsid w:val="00C97BF6"/>
    <w:rsid w:val="00CA0210"/>
    <w:rsid w:val="00CA0590"/>
    <w:rsid w:val="00CA10CC"/>
    <w:rsid w:val="00CA12D1"/>
    <w:rsid w:val="00CA1D8C"/>
    <w:rsid w:val="00CA1ED8"/>
    <w:rsid w:val="00CA31A3"/>
    <w:rsid w:val="00CA3997"/>
    <w:rsid w:val="00CA3D41"/>
    <w:rsid w:val="00CA40DC"/>
    <w:rsid w:val="00CA5D71"/>
    <w:rsid w:val="00CA63C2"/>
    <w:rsid w:val="00CA7245"/>
    <w:rsid w:val="00CB0346"/>
    <w:rsid w:val="00CB0875"/>
    <w:rsid w:val="00CB08B3"/>
    <w:rsid w:val="00CB1153"/>
    <w:rsid w:val="00CB1678"/>
    <w:rsid w:val="00CB19C1"/>
    <w:rsid w:val="00CB1F63"/>
    <w:rsid w:val="00CB33E8"/>
    <w:rsid w:val="00CB3423"/>
    <w:rsid w:val="00CB4BD2"/>
    <w:rsid w:val="00CB4F86"/>
    <w:rsid w:val="00CB552C"/>
    <w:rsid w:val="00CB619A"/>
    <w:rsid w:val="00CB6927"/>
    <w:rsid w:val="00CB6E7B"/>
    <w:rsid w:val="00CB7170"/>
    <w:rsid w:val="00CB76CF"/>
    <w:rsid w:val="00CC0405"/>
    <w:rsid w:val="00CC040E"/>
    <w:rsid w:val="00CC111F"/>
    <w:rsid w:val="00CC134D"/>
    <w:rsid w:val="00CC14CB"/>
    <w:rsid w:val="00CC2011"/>
    <w:rsid w:val="00CC21A3"/>
    <w:rsid w:val="00CC3EA0"/>
    <w:rsid w:val="00CC45AE"/>
    <w:rsid w:val="00CC5E23"/>
    <w:rsid w:val="00CC7B45"/>
    <w:rsid w:val="00CC7C09"/>
    <w:rsid w:val="00CD1188"/>
    <w:rsid w:val="00CD1FDF"/>
    <w:rsid w:val="00CD2ED1"/>
    <w:rsid w:val="00CD337B"/>
    <w:rsid w:val="00CD33BC"/>
    <w:rsid w:val="00CD3BAC"/>
    <w:rsid w:val="00CD3D8E"/>
    <w:rsid w:val="00CD3E0E"/>
    <w:rsid w:val="00CD4DFA"/>
    <w:rsid w:val="00CD53DE"/>
    <w:rsid w:val="00CD5F55"/>
    <w:rsid w:val="00CD6152"/>
    <w:rsid w:val="00CE0424"/>
    <w:rsid w:val="00CE2FDB"/>
    <w:rsid w:val="00CE4BBB"/>
    <w:rsid w:val="00CE585C"/>
    <w:rsid w:val="00CE6832"/>
    <w:rsid w:val="00CE7561"/>
    <w:rsid w:val="00CE758E"/>
    <w:rsid w:val="00CE7799"/>
    <w:rsid w:val="00CF0237"/>
    <w:rsid w:val="00CF02AC"/>
    <w:rsid w:val="00CF0864"/>
    <w:rsid w:val="00CF0EBC"/>
    <w:rsid w:val="00CF1354"/>
    <w:rsid w:val="00CF14CB"/>
    <w:rsid w:val="00CF30C1"/>
    <w:rsid w:val="00CF3960"/>
    <w:rsid w:val="00CF3AF5"/>
    <w:rsid w:val="00CF3B1F"/>
    <w:rsid w:val="00CF3BF6"/>
    <w:rsid w:val="00CF5C2E"/>
    <w:rsid w:val="00CF6016"/>
    <w:rsid w:val="00CF625B"/>
    <w:rsid w:val="00CF638D"/>
    <w:rsid w:val="00CF687E"/>
    <w:rsid w:val="00CF6B7A"/>
    <w:rsid w:val="00CF7F32"/>
    <w:rsid w:val="00D00102"/>
    <w:rsid w:val="00D0031A"/>
    <w:rsid w:val="00D01331"/>
    <w:rsid w:val="00D028EF"/>
    <w:rsid w:val="00D02D2B"/>
    <w:rsid w:val="00D02DEC"/>
    <w:rsid w:val="00D0349B"/>
    <w:rsid w:val="00D0381B"/>
    <w:rsid w:val="00D0399A"/>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1FFB"/>
    <w:rsid w:val="00D325EA"/>
    <w:rsid w:val="00D334CA"/>
    <w:rsid w:val="00D35643"/>
    <w:rsid w:val="00D35793"/>
    <w:rsid w:val="00D35B02"/>
    <w:rsid w:val="00D36983"/>
    <w:rsid w:val="00D36E71"/>
    <w:rsid w:val="00D372DA"/>
    <w:rsid w:val="00D374B7"/>
    <w:rsid w:val="00D37D87"/>
    <w:rsid w:val="00D37E1B"/>
    <w:rsid w:val="00D405EA"/>
    <w:rsid w:val="00D40B33"/>
    <w:rsid w:val="00D410D0"/>
    <w:rsid w:val="00D41222"/>
    <w:rsid w:val="00D417D4"/>
    <w:rsid w:val="00D41BDF"/>
    <w:rsid w:val="00D41DC0"/>
    <w:rsid w:val="00D4318F"/>
    <w:rsid w:val="00D438BF"/>
    <w:rsid w:val="00D43F5A"/>
    <w:rsid w:val="00D440F8"/>
    <w:rsid w:val="00D44856"/>
    <w:rsid w:val="00D44DDF"/>
    <w:rsid w:val="00D46921"/>
    <w:rsid w:val="00D47715"/>
    <w:rsid w:val="00D47876"/>
    <w:rsid w:val="00D51591"/>
    <w:rsid w:val="00D53214"/>
    <w:rsid w:val="00D533E2"/>
    <w:rsid w:val="00D53C21"/>
    <w:rsid w:val="00D53E23"/>
    <w:rsid w:val="00D546FF"/>
    <w:rsid w:val="00D54795"/>
    <w:rsid w:val="00D54CB1"/>
    <w:rsid w:val="00D557E7"/>
    <w:rsid w:val="00D55A34"/>
    <w:rsid w:val="00D55AD5"/>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E6C"/>
    <w:rsid w:val="00D65F48"/>
    <w:rsid w:val="00D66155"/>
    <w:rsid w:val="00D6685A"/>
    <w:rsid w:val="00D66A33"/>
    <w:rsid w:val="00D671DA"/>
    <w:rsid w:val="00D708B0"/>
    <w:rsid w:val="00D70B19"/>
    <w:rsid w:val="00D70E73"/>
    <w:rsid w:val="00D7135D"/>
    <w:rsid w:val="00D734EC"/>
    <w:rsid w:val="00D74578"/>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2CA"/>
    <w:rsid w:val="00D84DDC"/>
    <w:rsid w:val="00D86C86"/>
    <w:rsid w:val="00D86CA3"/>
    <w:rsid w:val="00D8713B"/>
    <w:rsid w:val="00D871CE"/>
    <w:rsid w:val="00D87238"/>
    <w:rsid w:val="00D878F0"/>
    <w:rsid w:val="00D90E74"/>
    <w:rsid w:val="00D91055"/>
    <w:rsid w:val="00D9196D"/>
    <w:rsid w:val="00D91D32"/>
    <w:rsid w:val="00D91F65"/>
    <w:rsid w:val="00D92982"/>
    <w:rsid w:val="00D93AAE"/>
    <w:rsid w:val="00D94EA3"/>
    <w:rsid w:val="00D95549"/>
    <w:rsid w:val="00D977AA"/>
    <w:rsid w:val="00DA01B6"/>
    <w:rsid w:val="00DA1349"/>
    <w:rsid w:val="00DA1498"/>
    <w:rsid w:val="00DA1AC3"/>
    <w:rsid w:val="00DA2F6C"/>
    <w:rsid w:val="00DA305E"/>
    <w:rsid w:val="00DA45FB"/>
    <w:rsid w:val="00DA5007"/>
    <w:rsid w:val="00DA5417"/>
    <w:rsid w:val="00DA56E8"/>
    <w:rsid w:val="00DA5828"/>
    <w:rsid w:val="00DA69D7"/>
    <w:rsid w:val="00DA6A0A"/>
    <w:rsid w:val="00DA6BEF"/>
    <w:rsid w:val="00DA6CA1"/>
    <w:rsid w:val="00DA73BC"/>
    <w:rsid w:val="00DB00F8"/>
    <w:rsid w:val="00DB0A9F"/>
    <w:rsid w:val="00DB377D"/>
    <w:rsid w:val="00DB40FB"/>
    <w:rsid w:val="00DB5719"/>
    <w:rsid w:val="00DB6768"/>
    <w:rsid w:val="00DB6E98"/>
    <w:rsid w:val="00DB72C9"/>
    <w:rsid w:val="00DC1887"/>
    <w:rsid w:val="00DC25CF"/>
    <w:rsid w:val="00DC28F0"/>
    <w:rsid w:val="00DC2D36"/>
    <w:rsid w:val="00DC37B1"/>
    <w:rsid w:val="00DC3F66"/>
    <w:rsid w:val="00DC4646"/>
    <w:rsid w:val="00DC478F"/>
    <w:rsid w:val="00DC4F17"/>
    <w:rsid w:val="00DC53EF"/>
    <w:rsid w:val="00DD0E49"/>
    <w:rsid w:val="00DD1B55"/>
    <w:rsid w:val="00DD1D27"/>
    <w:rsid w:val="00DD1EEE"/>
    <w:rsid w:val="00DD25DB"/>
    <w:rsid w:val="00DD2697"/>
    <w:rsid w:val="00DD42EC"/>
    <w:rsid w:val="00DD5447"/>
    <w:rsid w:val="00DD5931"/>
    <w:rsid w:val="00DD6FC6"/>
    <w:rsid w:val="00DD740E"/>
    <w:rsid w:val="00DD7789"/>
    <w:rsid w:val="00DE0491"/>
    <w:rsid w:val="00DE0FDD"/>
    <w:rsid w:val="00DE0FE2"/>
    <w:rsid w:val="00DE24E3"/>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24DD"/>
    <w:rsid w:val="00DF306A"/>
    <w:rsid w:val="00DF37A0"/>
    <w:rsid w:val="00DF5470"/>
    <w:rsid w:val="00DF5C56"/>
    <w:rsid w:val="00DF61AD"/>
    <w:rsid w:val="00DF6439"/>
    <w:rsid w:val="00DF7938"/>
    <w:rsid w:val="00E002D7"/>
    <w:rsid w:val="00E007B2"/>
    <w:rsid w:val="00E01746"/>
    <w:rsid w:val="00E01957"/>
    <w:rsid w:val="00E01E5E"/>
    <w:rsid w:val="00E0219D"/>
    <w:rsid w:val="00E0253C"/>
    <w:rsid w:val="00E04859"/>
    <w:rsid w:val="00E05CDC"/>
    <w:rsid w:val="00E05DED"/>
    <w:rsid w:val="00E05EBD"/>
    <w:rsid w:val="00E07312"/>
    <w:rsid w:val="00E073F6"/>
    <w:rsid w:val="00E07A20"/>
    <w:rsid w:val="00E10C3B"/>
    <w:rsid w:val="00E110E7"/>
    <w:rsid w:val="00E11B20"/>
    <w:rsid w:val="00E12837"/>
    <w:rsid w:val="00E138EA"/>
    <w:rsid w:val="00E13983"/>
    <w:rsid w:val="00E14DEC"/>
    <w:rsid w:val="00E152F9"/>
    <w:rsid w:val="00E1577B"/>
    <w:rsid w:val="00E16446"/>
    <w:rsid w:val="00E1681F"/>
    <w:rsid w:val="00E16915"/>
    <w:rsid w:val="00E17182"/>
    <w:rsid w:val="00E17545"/>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27EA5"/>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1C4"/>
    <w:rsid w:val="00E46886"/>
    <w:rsid w:val="00E46B81"/>
    <w:rsid w:val="00E4773F"/>
    <w:rsid w:val="00E47AEF"/>
    <w:rsid w:val="00E50459"/>
    <w:rsid w:val="00E505DD"/>
    <w:rsid w:val="00E50DED"/>
    <w:rsid w:val="00E51480"/>
    <w:rsid w:val="00E518D7"/>
    <w:rsid w:val="00E51F25"/>
    <w:rsid w:val="00E523BF"/>
    <w:rsid w:val="00E52A55"/>
    <w:rsid w:val="00E53B15"/>
    <w:rsid w:val="00E53B75"/>
    <w:rsid w:val="00E54E3B"/>
    <w:rsid w:val="00E54F66"/>
    <w:rsid w:val="00E5509A"/>
    <w:rsid w:val="00E5541E"/>
    <w:rsid w:val="00E566F3"/>
    <w:rsid w:val="00E57565"/>
    <w:rsid w:val="00E57E64"/>
    <w:rsid w:val="00E60CF1"/>
    <w:rsid w:val="00E61FED"/>
    <w:rsid w:val="00E625EE"/>
    <w:rsid w:val="00E6282E"/>
    <w:rsid w:val="00E62C10"/>
    <w:rsid w:val="00E62C11"/>
    <w:rsid w:val="00E62F1F"/>
    <w:rsid w:val="00E62F35"/>
    <w:rsid w:val="00E62FF0"/>
    <w:rsid w:val="00E6357D"/>
    <w:rsid w:val="00E63838"/>
    <w:rsid w:val="00E63B15"/>
    <w:rsid w:val="00E6425B"/>
    <w:rsid w:val="00E64434"/>
    <w:rsid w:val="00E64446"/>
    <w:rsid w:val="00E64570"/>
    <w:rsid w:val="00E653E0"/>
    <w:rsid w:val="00E65A64"/>
    <w:rsid w:val="00E66A19"/>
    <w:rsid w:val="00E67C51"/>
    <w:rsid w:val="00E70CF1"/>
    <w:rsid w:val="00E7120F"/>
    <w:rsid w:val="00E71DF6"/>
    <w:rsid w:val="00E72A28"/>
    <w:rsid w:val="00E72B2A"/>
    <w:rsid w:val="00E72EFC"/>
    <w:rsid w:val="00E733C0"/>
    <w:rsid w:val="00E74C7B"/>
    <w:rsid w:val="00E758EC"/>
    <w:rsid w:val="00E76259"/>
    <w:rsid w:val="00E774DB"/>
    <w:rsid w:val="00E8007A"/>
    <w:rsid w:val="00E821D6"/>
    <w:rsid w:val="00E8233A"/>
    <w:rsid w:val="00E8234C"/>
    <w:rsid w:val="00E82F93"/>
    <w:rsid w:val="00E8385E"/>
    <w:rsid w:val="00E83AA9"/>
    <w:rsid w:val="00E84AC6"/>
    <w:rsid w:val="00E85928"/>
    <w:rsid w:val="00E860AE"/>
    <w:rsid w:val="00E862C2"/>
    <w:rsid w:val="00E877B5"/>
    <w:rsid w:val="00E87822"/>
    <w:rsid w:val="00E90395"/>
    <w:rsid w:val="00E90783"/>
    <w:rsid w:val="00E90E49"/>
    <w:rsid w:val="00E916DA"/>
    <w:rsid w:val="00E917F9"/>
    <w:rsid w:val="00E91E88"/>
    <w:rsid w:val="00E9291C"/>
    <w:rsid w:val="00E92DCB"/>
    <w:rsid w:val="00E93FFE"/>
    <w:rsid w:val="00E94A4B"/>
    <w:rsid w:val="00E94F8A"/>
    <w:rsid w:val="00E96A90"/>
    <w:rsid w:val="00E96F47"/>
    <w:rsid w:val="00E97845"/>
    <w:rsid w:val="00E97A81"/>
    <w:rsid w:val="00EA0A93"/>
    <w:rsid w:val="00EA145C"/>
    <w:rsid w:val="00EA172E"/>
    <w:rsid w:val="00EA1940"/>
    <w:rsid w:val="00EA33B1"/>
    <w:rsid w:val="00EA62C3"/>
    <w:rsid w:val="00EA6AC5"/>
    <w:rsid w:val="00EA6AE5"/>
    <w:rsid w:val="00EA7A41"/>
    <w:rsid w:val="00EA7D81"/>
    <w:rsid w:val="00EB05A0"/>
    <w:rsid w:val="00EB077B"/>
    <w:rsid w:val="00EB15F6"/>
    <w:rsid w:val="00EB2190"/>
    <w:rsid w:val="00EB40A6"/>
    <w:rsid w:val="00EB46CC"/>
    <w:rsid w:val="00EB4EA2"/>
    <w:rsid w:val="00EB53CA"/>
    <w:rsid w:val="00EB54ED"/>
    <w:rsid w:val="00EB5B16"/>
    <w:rsid w:val="00EB6346"/>
    <w:rsid w:val="00EB7AC8"/>
    <w:rsid w:val="00EB7F26"/>
    <w:rsid w:val="00EC1933"/>
    <w:rsid w:val="00EC27C6"/>
    <w:rsid w:val="00EC353C"/>
    <w:rsid w:val="00EC4207"/>
    <w:rsid w:val="00EC5653"/>
    <w:rsid w:val="00EC5D1F"/>
    <w:rsid w:val="00EC5FF3"/>
    <w:rsid w:val="00EC60B5"/>
    <w:rsid w:val="00EC69C9"/>
    <w:rsid w:val="00EC6A49"/>
    <w:rsid w:val="00EC6AD1"/>
    <w:rsid w:val="00EC6B68"/>
    <w:rsid w:val="00EC71CE"/>
    <w:rsid w:val="00EC75DD"/>
    <w:rsid w:val="00EC766B"/>
    <w:rsid w:val="00EC79BB"/>
    <w:rsid w:val="00ED1006"/>
    <w:rsid w:val="00ED1AA4"/>
    <w:rsid w:val="00ED1DD3"/>
    <w:rsid w:val="00ED279B"/>
    <w:rsid w:val="00ED29F7"/>
    <w:rsid w:val="00ED371B"/>
    <w:rsid w:val="00ED3F0F"/>
    <w:rsid w:val="00ED4F54"/>
    <w:rsid w:val="00ED4F9D"/>
    <w:rsid w:val="00ED5CAF"/>
    <w:rsid w:val="00ED6433"/>
    <w:rsid w:val="00ED67EE"/>
    <w:rsid w:val="00EE0A8F"/>
    <w:rsid w:val="00EE1309"/>
    <w:rsid w:val="00EE1E64"/>
    <w:rsid w:val="00EE1E92"/>
    <w:rsid w:val="00EE49D4"/>
    <w:rsid w:val="00EE4B5E"/>
    <w:rsid w:val="00EE4DF7"/>
    <w:rsid w:val="00EE4E1C"/>
    <w:rsid w:val="00EE7F85"/>
    <w:rsid w:val="00EF08AA"/>
    <w:rsid w:val="00EF18FE"/>
    <w:rsid w:val="00EF4DCB"/>
    <w:rsid w:val="00EF5787"/>
    <w:rsid w:val="00EF58ED"/>
    <w:rsid w:val="00EF60D0"/>
    <w:rsid w:val="00EF682C"/>
    <w:rsid w:val="00EF7711"/>
    <w:rsid w:val="00EF78A7"/>
    <w:rsid w:val="00EF795A"/>
    <w:rsid w:val="00F01BDF"/>
    <w:rsid w:val="00F02009"/>
    <w:rsid w:val="00F02895"/>
    <w:rsid w:val="00F039A4"/>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2E5"/>
    <w:rsid w:val="00F152FE"/>
    <w:rsid w:val="00F15FA5"/>
    <w:rsid w:val="00F164E9"/>
    <w:rsid w:val="00F1654E"/>
    <w:rsid w:val="00F16833"/>
    <w:rsid w:val="00F169F1"/>
    <w:rsid w:val="00F16A19"/>
    <w:rsid w:val="00F16DB1"/>
    <w:rsid w:val="00F17545"/>
    <w:rsid w:val="00F17A46"/>
    <w:rsid w:val="00F17C4B"/>
    <w:rsid w:val="00F209B7"/>
    <w:rsid w:val="00F215B2"/>
    <w:rsid w:val="00F219FA"/>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185"/>
    <w:rsid w:val="00F33AB4"/>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955"/>
    <w:rsid w:val="00F452A8"/>
    <w:rsid w:val="00F45ED4"/>
    <w:rsid w:val="00F461B1"/>
    <w:rsid w:val="00F4766C"/>
    <w:rsid w:val="00F47DD5"/>
    <w:rsid w:val="00F507D1"/>
    <w:rsid w:val="00F51175"/>
    <w:rsid w:val="00F519CE"/>
    <w:rsid w:val="00F51ADA"/>
    <w:rsid w:val="00F51EC2"/>
    <w:rsid w:val="00F53AF3"/>
    <w:rsid w:val="00F54D55"/>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718"/>
    <w:rsid w:val="00F65BB0"/>
    <w:rsid w:val="00F66F87"/>
    <w:rsid w:val="00F6703D"/>
    <w:rsid w:val="00F67619"/>
    <w:rsid w:val="00F67748"/>
    <w:rsid w:val="00F67D30"/>
    <w:rsid w:val="00F67F53"/>
    <w:rsid w:val="00F70072"/>
    <w:rsid w:val="00F7020E"/>
    <w:rsid w:val="00F703BE"/>
    <w:rsid w:val="00F70F3C"/>
    <w:rsid w:val="00F71F69"/>
    <w:rsid w:val="00F72052"/>
    <w:rsid w:val="00F72322"/>
    <w:rsid w:val="00F72B72"/>
    <w:rsid w:val="00F73345"/>
    <w:rsid w:val="00F74BB9"/>
    <w:rsid w:val="00F754D7"/>
    <w:rsid w:val="00F75582"/>
    <w:rsid w:val="00F7565A"/>
    <w:rsid w:val="00F75A7F"/>
    <w:rsid w:val="00F76EFA"/>
    <w:rsid w:val="00F77A0B"/>
    <w:rsid w:val="00F8015A"/>
    <w:rsid w:val="00F804BE"/>
    <w:rsid w:val="00F80850"/>
    <w:rsid w:val="00F8098C"/>
    <w:rsid w:val="00F80B50"/>
    <w:rsid w:val="00F817CE"/>
    <w:rsid w:val="00F81D16"/>
    <w:rsid w:val="00F82079"/>
    <w:rsid w:val="00F82200"/>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0908"/>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624B"/>
    <w:rsid w:val="00FB65DA"/>
    <w:rsid w:val="00FB69CA"/>
    <w:rsid w:val="00FB6A6A"/>
    <w:rsid w:val="00FB6E66"/>
    <w:rsid w:val="00FB6F61"/>
    <w:rsid w:val="00FB773D"/>
    <w:rsid w:val="00FC05EC"/>
    <w:rsid w:val="00FC0873"/>
    <w:rsid w:val="00FC129A"/>
    <w:rsid w:val="00FC160B"/>
    <w:rsid w:val="00FC183A"/>
    <w:rsid w:val="00FC35B7"/>
    <w:rsid w:val="00FC3FCB"/>
    <w:rsid w:val="00FC4AD0"/>
    <w:rsid w:val="00FC5B9C"/>
    <w:rsid w:val="00FC6640"/>
    <w:rsid w:val="00FC6982"/>
    <w:rsid w:val="00FC7313"/>
    <w:rsid w:val="00FC7429"/>
    <w:rsid w:val="00FC7B90"/>
    <w:rsid w:val="00FD055A"/>
    <w:rsid w:val="00FD075F"/>
    <w:rsid w:val="00FD07F6"/>
    <w:rsid w:val="00FD0F96"/>
    <w:rsid w:val="00FD1963"/>
    <w:rsid w:val="00FD1EC8"/>
    <w:rsid w:val="00FD2562"/>
    <w:rsid w:val="00FD3445"/>
    <w:rsid w:val="00FD3FB3"/>
    <w:rsid w:val="00FD47ED"/>
    <w:rsid w:val="00FD5F15"/>
    <w:rsid w:val="00FD74DB"/>
    <w:rsid w:val="00FD7660"/>
    <w:rsid w:val="00FD79D2"/>
    <w:rsid w:val="00FE02C9"/>
    <w:rsid w:val="00FE0655"/>
    <w:rsid w:val="00FE17E2"/>
    <w:rsid w:val="00FE1E40"/>
    <w:rsid w:val="00FE20E2"/>
    <w:rsid w:val="00FE2365"/>
    <w:rsid w:val="00FE26A4"/>
    <w:rsid w:val="00FE4009"/>
    <w:rsid w:val="00FE4659"/>
    <w:rsid w:val="00FE4B0E"/>
    <w:rsid w:val="00FE4C7B"/>
    <w:rsid w:val="00FE4CAF"/>
    <w:rsid w:val="00FE5670"/>
    <w:rsid w:val="00FE5BEE"/>
    <w:rsid w:val="00FE5E76"/>
    <w:rsid w:val="00FE7078"/>
    <w:rsid w:val="00FE7336"/>
    <w:rsid w:val="00FE787C"/>
    <w:rsid w:val="00FF0B02"/>
    <w:rsid w:val="00FF45A5"/>
    <w:rsid w:val="00FF5C91"/>
    <w:rsid w:val="00FF606A"/>
    <w:rsid w:val="00FF62AE"/>
    <w:rsid w:val="0607814E"/>
    <w:rsid w:val="06D8B70F"/>
    <w:rsid w:val="0A21EB72"/>
    <w:rsid w:val="11FEF9AE"/>
    <w:rsid w:val="120C6BF9"/>
    <w:rsid w:val="1A1165EB"/>
    <w:rsid w:val="1A2440A0"/>
    <w:rsid w:val="210E95FE"/>
    <w:rsid w:val="23E67CDA"/>
    <w:rsid w:val="24CB478D"/>
    <w:rsid w:val="261E4E13"/>
    <w:rsid w:val="28EA70FE"/>
    <w:rsid w:val="295A2ECD"/>
    <w:rsid w:val="2F17631C"/>
    <w:rsid w:val="3045607F"/>
    <w:rsid w:val="330BD6E3"/>
    <w:rsid w:val="3648F031"/>
    <w:rsid w:val="3894BB86"/>
    <w:rsid w:val="3A4AED2D"/>
    <w:rsid w:val="3AF7E4AF"/>
    <w:rsid w:val="3E3288E3"/>
    <w:rsid w:val="44D26AB2"/>
    <w:rsid w:val="45FD0716"/>
    <w:rsid w:val="471047D8"/>
    <w:rsid w:val="47A652A0"/>
    <w:rsid w:val="4A243A03"/>
    <w:rsid w:val="4AA4D8F6"/>
    <w:rsid w:val="4B16A57A"/>
    <w:rsid w:val="4BDB776C"/>
    <w:rsid w:val="50269420"/>
    <w:rsid w:val="50B72A1E"/>
    <w:rsid w:val="50CFB5E6"/>
    <w:rsid w:val="51CE5AC6"/>
    <w:rsid w:val="58CA2989"/>
    <w:rsid w:val="59A39314"/>
    <w:rsid w:val="5D9D9AAC"/>
    <w:rsid w:val="67D1ACCF"/>
    <w:rsid w:val="68244409"/>
    <w:rsid w:val="685F9634"/>
    <w:rsid w:val="6C2F6603"/>
    <w:rsid w:val="6DBD1123"/>
    <w:rsid w:val="6DC3FCD2"/>
    <w:rsid w:val="6EA78169"/>
    <w:rsid w:val="74F170D1"/>
    <w:rsid w:val="751E89E2"/>
    <w:rsid w:val="778288F5"/>
    <w:rsid w:val="78D20E92"/>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5.emf"/><Relationship Id="R24a33d7e94c44cd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2.vsdx"/><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5AIRPNAIUNRU-1156379521-2241</_dlc_DocId>
    <_dlc_DocIdUrl xmlns="71c5aaf6-e6ce-465b-b873-5148d2a4c105">
      <Url>https://nokia.sharepoint.com/sites/c5g/e2earch/_layouts/15/DocIdRedir.aspx?ID=5AIRPNAIUNRU-1156379521-2241</Url>
      <Description>5AIRPNAIUNRU-1156379521-2241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3.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6382666F-D00C-4C11-B299-40ABCC23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15</TotalTime>
  <Pages>7</Pages>
  <Words>2062</Words>
  <Characters>11760</Characters>
  <Application>Microsoft Office Word</Application>
  <DocSecurity>0</DocSecurity>
  <Lines>98</Lines>
  <Paragraphs>27</Paragraphs>
  <ScaleCrop>false</ScaleCrop>
  <Company>Ericsson</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Xu, Steven 1. (NSB - CN/Beijing)</cp:lastModifiedBy>
  <cp:revision>108</cp:revision>
  <cp:lastPrinted>2020-05-20T07:03:00Z</cp:lastPrinted>
  <dcterms:created xsi:type="dcterms:W3CDTF">2021-01-15T02:39:00Z</dcterms:created>
  <dcterms:modified xsi:type="dcterms:W3CDTF">2021-05-07T02:05:00Z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0841eaeb-89cd-492b-b6db-f54c526eadb5</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